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Acceptable Use Policy</w:t>
      </w:r>
    </w:p>
    <w:p>
      <w:pPr>
        <w:pStyle w:val="Heading1"/>
        <w:spacing w:before="0" w:after="80"/>
      </w:pPr>
      <w:r>
        <w:rPr>
          <w:color w:val="auto"/>
          <w:sz w:val="20"/>
          <w:szCs w:val="20"/>
        </w:rPr>
        <w:t>Document Control</w:t>
      </w:r>
    </w:p>
    <w:tbl>
      <w:tblPr>
        <w:tblStyle w:val="TableGrid"/>
        <w:tblW w:type="auto" w:w="0"/>
        <w:tblLook w:firstColumn="1" w:firstRow="1" w:lastColumn="0" w:lastRow="0" w:noHBand="0" w:noVBand="1" w:val="04A0"/>
      </w:tblPr>
      <w:tblGrid>
        <w:gridCol w:w="5400"/>
        <w:gridCol w:w="5400"/>
      </w:tblGrid>
      <w:tr>
        <w:tc>
          <w:tcPr>
            <w:tcW w:type="dxa" w:w="5400"/>
          </w:tcPr>
          <w:p>
            <w:r>
              <w:rPr>
                <w:b/>
              </w:rPr>
              <w:t xml:space="preserve">Document title</w:t>
            </w:r>
          </w:p>
        </w:tc>
        <w:tc>
          <w:tcPr>
            <w:tcW w:type="dxa" w:w="5400"/>
          </w:tcPr>
          <w:p>
            <w:r>
              <w:t xml:space="preserve">Acceptable Use Policy</w:t>
            </w:r>
          </w:p>
        </w:tc>
      </w:tr>
      <w:tr>
        <w:tc>
          <w:tcPr>
            <w:tcW w:type="dxa" w:w="5400"/>
          </w:tcPr>
          <w:p>
            <w:r>
              <w:rPr>
                <w:b/>
              </w:rPr>
              <w:t xml:space="preserve">Version</w:t>
            </w:r>
          </w:p>
        </w:tc>
        <w:tc>
          <w:tcPr>
            <w:tcW w:type="dxa" w:w="5400"/>
          </w:tcPr>
          <w:p>
            <w:r>
              <w:t xml:space="preserve">1.0</w:t>
            </w:r>
          </w:p>
        </w:tc>
      </w:tr>
      <w:tr>
        <w:tc>
          <w:tcPr>
            <w:tcW w:type="dxa" w:w="5400"/>
          </w:tcPr>
          <w:p>
            <w:r>
              <w:rPr>
                <w:b/>
              </w:rPr>
              <w:t xml:space="preserve">Document owner</w:t>
            </w:r>
          </w:p>
        </w:tc>
        <w:tc>
          <w:tcPr>
            <w:tcW w:type="dxa" w:w="5400"/>
          </w:tcPr>
          <w:p>
            <w:r>
              <w:t xml:space="preserve">Information Security Lead</w:t>
            </w:r>
          </w:p>
        </w:tc>
      </w:tr>
      <w:tr>
        <w:tc>
          <w:tcPr>
            <w:tcW w:type="dxa" w:w="5400"/>
          </w:tcPr>
          <w:p>
            <w:r>
              <w:rPr>
                <w:b/>
              </w:rPr>
              <w:t xml:space="preserve">Approved by</w:t>
            </w:r>
          </w:p>
        </w:tc>
        <w:tc>
          <w:tcPr>
            <w:tcW w:type="dxa" w:w="5400"/>
          </w:tcPr>
          <w:p>
            <w:r>
              <w:rPr>
                <w:highlight w:val="yellow"/>
              </w:rPr>
              <w:t xml:space="preserve">[Name and title, e.g., Chief Executive Officer]</w:t>
            </w:r>
          </w:p>
        </w:tc>
      </w:tr>
      <w:tr>
        <w:tc>
          <w:tcPr>
            <w:tcW w:type="dxa" w:w="5400"/>
          </w:tcPr>
          <w:p>
            <w:r>
              <w:rPr>
                <w:b/>
              </w:rPr>
              <w:t xml:space="preserve">Effective date</w:t>
            </w:r>
          </w:p>
        </w:tc>
        <w:tc>
          <w:tcPr>
            <w:tcW w:type="dxa" w:w="5400"/>
          </w:tcPr>
          <w:p>
            <w:r>
              <w:rPr>
                <w:highlight w:val="yellow"/>
              </w:rPr>
              <w:t xml:space="preserve">[Date]</w:t>
            </w:r>
          </w:p>
        </w:tc>
      </w:tr>
      <w:tr>
        <w:tc>
          <w:tcPr>
            <w:tcW w:type="dxa" w:w="5400"/>
          </w:tcPr>
          <w:p>
            <w:r>
              <w:rPr>
                <w:b/>
              </w:rPr>
              <w:t xml:space="preserve">Next review date</w:t>
            </w:r>
          </w:p>
        </w:tc>
        <w:tc>
          <w:tcPr>
            <w:tcW w:type="dxa" w:w="5400"/>
          </w:tcPr>
          <w:p>
            <w:r>
              <w:rPr>
                <w:highlight w:val="yellow"/>
              </w:rPr>
              <w:t xml:space="preserve">[Date, no later than one year after the effective date]</w:t>
            </w:r>
          </w:p>
        </w:tc>
      </w:tr>
      <w:tr>
        <w:tc>
          <w:tcPr>
            <w:tcW w:type="dxa" w:w="5400"/>
          </w:tcPr>
          <w:p>
            <w:r>
              <w:rPr>
                <w:b/>
              </w:rPr>
              <w:t xml:space="preserve">Classification</w:t>
            </w:r>
          </w:p>
        </w:tc>
        <w:tc>
          <w:tcPr>
            <w:tcW w:type="dxa" w:w="5400"/>
          </w:tcPr>
          <w:p>
            <w:r>
              <w:rPr>
                <w:highlight w:val="yellow"/>
              </w:rPr>
              <w:t xml:space="preserve">[e.g., Internal (shareable with customers and auditors on request)]</w:t>
            </w:r>
          </w:p>
        </w:tc>
      </w:tr>
    </w:tbl>
    <w:p>
      <w:pPr>
        <w:pStyle w:val="Heading1"/>
        <w:spacing w:before="0" w:after="80"/>
      </w:pPr>
      <w:r>
        <w:rPr>
          <w:color w:val="auto"/>
          <w:sz w:val="20"/>
          <w:szCs w:val="20"/>
        </w:rPr>
        <w:t>Revision History</w:t>
      </w:r>
    </w:p>
    <w:tbl>
      <w:tblPr>
        <w:tblStyle w:val="TableGrid"/>
        <w:tblW w:type="auto" w:w="0"/>
        <w:tblLook w:firstColumn="1" w:firstRow="1" w:lastColumn="0" w:lastRow="0" w:noHBand="0" w:noVBand="1" w:val="04A0"/>
      </w:tblPr>
      <w:tblGrid>
        <w:gridCol w:w="1440"/>
        <w:gridCol w:w="2520"/>
        <w:gridCol w:w="6840"/>
      </w:tblGrid>
      <w:tr>
        <w:trPr>
          <w:tblHeader/>
        </w:trPr>
        <w:tc>
          <w:tcPr>
            <w:tcW w:type="dxa" w:w="1440"/>
          </w:tcPr>
          <w:p>
            <w:r>
              <w:rPr>
                <w:b/>
              </w:rPr>
              <w:t xml:space="preserve">Version</w:t>
            </w:r>
          </w:p>
        </w:tc>
        <w:tc>
          <w:tcPr>
            <w:tcW w:type="dxa" w:w="2520"/>
          </w:tcPr>
          <w:p>
            <w:r>
              <w:rPr>
                <w:b/>
              </w:rPr>
              <w:t xml:space="preserve">Date</w:t>
            </w:r>
          </w:p>
        </w:tc>
        <w:tc>
          <w:tcPr>
            <w:tcW w:type="dxa" w:w="6840"/>
          </w:tcPr>
          <w:p>
            <w:r>
              <w:rPr>
                <w:b/>
              </w:rPr>
              <w:t xml:space="preserve">Summary of changes</w:t>
            </w:r>
          </w:p>
        </w:tc>
      </w:tr>
      <w:tr>
        <w:tc>
          <w:tcPr>
            <w:tcW w:type="dxa" w:w="1440"/>
          </w:tcPr>
          <w:p>
            <w:r>
              <w:t xml:space="preserve">1.0</w:t>
            </w:r>
          </w:p>
        </w:tc>
        <w:tc>
          <w:tcPr>
            <w:tcW w:type="dxa" w:w="2520"/>
          </w:tcPr>
          <w:p>
            <w:r>
              <w:rPr>
                <w:highlight w:val="yellow"/>
              </w:rPr>
              <w:t xml:space="preserve">[Date]</w:t>
            </w:r>
          </w:p>
        </w:tc>
        <w:tc>
          <w:tcPr>
            <w:tcW w:type="dxa" w:w="6840"/>
          </w:tcPr>
          <w:p>
            <w:r>
              <w:t xml:space="preserve">Initial version.</w:t>
            </w:r>
          </w:p>
        </w:tc>
      </w:tr>
    </w:tbl>
    <w:p>
      <w:pPr>
        <w:pStyle w:val="Heading1"/>
      </w:pPr>
      <w:r>
        <w:t xml:space="preserve">1.0 Purpose</w:t>
      </w:r>
    </w:p>
    <w:p>
      <w:r>
        <w:t xml:space="preserve">This policy defines the acceptable use of the information systems, data, and devices of </w:t>
      </w:r>
      <w:r>
        <w:rPr>
          <w:highlight w:val="yellow"/>
        </w:rPr>
        <w:t>[Company Name]</w:t>
      </w:r>
      <w:r>
        <w:t xml:space="preserve"> ("the organization"). It sets the rules that keep them safe: what those systems may be used for, what is prohibited, and what everyone with access has to do.</w:t>
      </w:r>
    </w:p>
    <w:p>
      <w:r>
        <w:t xml:space="preserve">This policy is a supporting policy of the organization's Information Security Policy. At a policy level, it puts into practice the acceptable use, asset handling, and user responsibility controls of ISO/IEC 27001:2022 Annex A and the corresponding outcomes of the NIST Cybersecurity Framework (CSF) 2.0 (see Section 9.0).</w:t>
      </w:r>
    </w:p>
    <w:p>
      <w:pPr>
        <w:pStyle w:val="Heading1"/>
      </w:pPr>
      <w:r>
        <w:t xml:space="preserve">2.0 Scope</w:t>
      </w:r>
    </w:p>
    <w:p>
      <w:r>
        <w:t>This policy applies to everyone who uses the organization's information systems, services, or data: employees, contractors, and any other authorized users, on any device, wherever they work. It covers organization-owned equipment, personal devices approved for business use (bring your own device, or BYOD), and the contractor firm devices Section 3.6 permits under the Remote Work &amp; Mobile Device Policy. It applies alongside the related policies listed in Section 9.0. On an approved personal device, this policy governs business use, along with the organization's data, accounts, and management profile (the device-management settings Section 3.6 describes). It does not govern personal content or personal apps (see Sections 3.13 and 3.14).</w:t>
      </w:r>
    </w:p>
    <w:p>
      <w:pPr>
        <w:pStyle w:val="Heading1"/>
      </w:pPr>
      <w:r>
        <w:t xml:space="preserve">3.0 Policy Statements</w:t>
      </w:r>
    </w:p>
    <w:p>
      <w:r>
        <w:t>Throughout this policy, a statement of what the organization or its people do ("is encrypted", "are recorded") is a requirement. So are "must", "shall", and direct instructions such as "use only" or "never". The words "may" and "is acceptable" mark a permission. Where a requirement needs a planned deviation, Section 6.0 describes how to request an exception. Text in square brackets marks a decision to make when adopting this policy: a placeholder to fill in, a starting value to set, or a passage to review and then keep, adapt, or delete. Remove the brackets and the yellow highlighting after each decision. Some brackets hold a note to you rather than text to keep; delete the note once you have acted on it.</w:t>
      </w:r>
    </w:p>
    <w:p>
      <w:pPr>
        <w:pStyle w:val="Heading2"/>
      </w:pPr>
      <w:r>
        <w:t xml:space="preserve">3.1 General Use</w:t>
      </w:r>
    </w:p>
    <w:p>
      <w:pPr>
        <w:pStyle w:val="ListBullet"/>
      </w:pPr>
      <w:r>
        <w:t xml:space="preserve">Use the organization's systems, data, and equipment for authorized business purposes. Occasional personal use (checking a personal email, a quick errand online) is acceptable when it is lawful, does not interfere with work or security, and stays clear of the uses Section 3.2 prohibits. The organization decides whether use is occasional and whether it interferes; stop when asked.</w:t>
      </w:r>
    </w:p>
    <w:p>
      <w:pPr>
        <w:pStyle w:val="ListBullet"/>
      </w:pPr>
      <w:r>
        <w:t xml:space="preserve">Follow the law, the organization's policies, and software licensing terms in everything done on the organization's systems.</w:t>
      </w:r>
    </w:p>
    <w:p>
      <w:pPr>
        <w:pStyle w:val="Heading2"/>
      </w:pPr>
      <w:r>
        <w:t xml:space="preserve">3.2 Unacceptable Use</w:t>
      </w:r>
    </w:p>
    <w:p>
      <w:r>
        <w:t xml:space="preserve">Everyone covered by this policy must not:</w:t>
      </w:r>
    </w:p>
    <w:p>
      <w:pPr>
        <w:pStyle w:val="ListBullet"/>
      </w:pPr>
      <w:r>
        <w:t xml:space="preserve">Access or distribute unlawful or harassing material, or material that violates the organization's Human Resources policies, through the organization's systems.</w:t>
      </w:r>
    </w:p>
    <w:p>
      <w:pPr>
        <w:pStyle w:val="ListBullet"/>
      </w:pPr>
      <w:r>
        <w:t>Disable, bypass, or interfere with security controls such as protection against malware (malicious software), disk encryption, or web filters.</w:t>
      </w:r>
    </w:p>
    <w:p>
      <w:pPr>
        <w:pStyle w:val="ListBullet"/>
      </w:pPr>
      <w:r>
        <w:t>Install software or browser extensions the organization has not approved on the organization's systems, or use unapproved software or extensions to do business or handle organization data on any device (personal apps on an approved personal device, kept away from organization data, are the owner's own; see Section 2.0).</w:t>
      </w:r>
    </w:p>
    <w:p>
      <w:pPr>
        <w:pStyle w:val="ListBullet"/>
      </w:pPr>
      <w:r>
        <w:t>Connect unapproved hardware to the organization's systems (standard peripherals such as a monitor, keyboard, mouse, or headset are acceptable unless the organization says otherwise, but never one you found or received unsolicited, because a device that presents itself as a keyboard can type commands on its own; anything that stores data needs approval, see Section 3.10).</w:t>
      </w:r>
    </w:p>
    <w:p>
      <w:pPr>
        <w:pStyle w:val="ListBullet"/>
      </w:pPr>
      <w:r>
        <w:t xml:space="preserve">Share accounts, passwords, or access tokens (the keys that let an app or a person sign in as you) with anyone, inside or outside the organization.</w:t>
      </w:r>
    </w:p>
    <w:p>
      <w:pPr>
        <w:pStyle w:val="ListBullet"/>
      </w:pPr>
      <w:r>
        <w:t xml:space="preserve">Move, copy, or enter organization data into unapproved devices, storage media, or online services.</w:t>
      </w:r>
    </w:p>
    <w:p>
      <w:pPr>
        <w:pStyle w:val="ListBullet"/>
      </w:pPr>
      <w:r>
        <w:t>Extract, download, or compile sensitive information (Section 3.3 says what that covers) beyond what the assigned work requires, unless approved in advance (Section 4.0 says who approves; when in doubt about what the work requires, ask before extracting).</w:t>
      </w:r>
    </w:p>
    <w:p>
      <w:pPr>
        <w:pStyle w:val="ListBullet"/>
      </w:pPr>
      <w:r>
        <w:t xml:space="preserve">Photograph or record sensitive information from screens, documents, meetings, or calls, unless the recording is both authorized and made with a tool approved for that purpose (Section 3.3 adds what to do before recording a call or a meeting).</w:t>
      </w:r>
    </w:p>
    <w:p>
      <w:pPr>
        <w:pStyle w:val="ListBullet"/>
      </w:pPr>
      <w:r>
        <w:t>Intentionally damage, delete, alter, or make unavailable any organization data, systems, or backups without authorization.</w:t>
      </w:r>
    </w:p>
    <w:p>
      <w:pPr>
        <w:pStyle w:val="ListBullet"/>
      </w:pPr>
      <w:r>
        <w:t xml:space="preserve">Alter or falsify logs, audit trails, or other records of activity, delete them outside the organization's retention and disposal rules, or otherwise conceal what was done on the organization's systems.</w:t>
      </w:r>
    </w:p>
    <w:p>
      <w:pPr>
        <w:pStyle w:val="ListBullet"/>
      </w:pPr>
      <w:r>
        <w:t>Knowingly introduce or spread malware in the organization's systems (report an accidental infection as an incident under Section 7.0; this bullet covers deliberate acts only, and Section 7.0 protects a good-faith report).</w:t>
      </w:r>
    </w:p>
    <w:p>
      <w:pPr>
        <w:pStyle w:val="ListBullet"/>
      </w:pPr>
      <w:r>
        <w:t xml:space="preserve">Probe, scan, or attack any system, internal or external, without written authorization from the Information Security Lead.</w:t>
      </w:r>
    </w:p>
    <w:p>
      <w:pPr>
        <w:pStyle w:val="ListBullet"/>
      </w:pPr>
      <w:r>
        <w:t xml:space="preserve">Use the organization's systems or resources to run a personal business, perform outside employment, mine cryptocurrency, or resell computing or network capacity.</w:t>
      </w:r>
    </w:p>
    <w:p>
      <w:pPr>
        <w:pStyle w:val="Heading2"/>
      </w:pPr>
      <w:r>
        <w:t xml:space="preserve">3.3 Information and Data Handling</w:t>
      </w:r>
    </w:p>
    <w:p>
      <w:pPr>
        <w:pStyle w:val="ListBullet"/>
      </w:pPr>
      <w:r>
        <w:t xml:space="preserve">Handle information according to its classification (the sensitivity level the organization assigns it under the Data Handling Policy) and the organization's data handling rules, including retention and disposal. Where that policy is in place, "sensitive information" in this policy means what it classifies Confidential, and anything it classifies above Confidential. Until it sets the levels, treat customer data, personal information, financial records, intellectual property, credentials and keys, security configurations, and contracts as sensitive information. Copies and extracts inherit the classification of the original.</w:t>
      </w:r>
    </w:p>
    <w:p>
      <w:pPr>
        <w:pStyle w:val="ListBullet"/>
      </w:pPr>
      <w:r>
        <w:t xml:space="preserve">Share sensitive information only with people authorized to see it, over approved channels.</w:t>
      </w:r>
    </w:p>
    <w:p>
      <w:pPr>
        <w:pStyle w:val="ListBullet"/>
      </w:pPr>
      <w:r>
        <w:t xml:space="preserve">Enter organization information only into artificial intelligence (AI) tools and other online services the organization has approved, and only for the sensitivity levels the approval covers: a tool approved for everyday information, meaning anything not classified as sensitive, is not approved for sensitive information. Never put sensitive information into an unapproved AI tool, and never put organization information of any kind into an AI tool through a personal account.</w:t>
      </w:r>
    </w:p>
    <w:p>
      <w:pPr>
        <w:pStyle w:val="ListBullet"/>
      </w:pPr>
      <w:r>
        <w:t xml:space="preserve">Check AI-generated content for accuracy before using it in deliverables or decisions. Whoever uses or passes on the output is responsible for it.</w:t>
      </w:r>
    </w:p>
    <w:p>
      <w:pPr>
        <w:pStyle w:val="ListBullet"/>
      </w:pPr>
      <w:r>
        <w:t xml:space="preserve">Connect AI assistants, meeting note-takers, AI agents, or any other app or agent to organization accounts, meetings, or data only when the organization has approved that tool for that use. Granting sign-in access counts as connecting.</w:t>
      </w:r>
    </w:p>
    <w:p>
      <w:pPr>
        <w:pStyle w:val="ListBullet"/>
      </w:pPr>
      <w:r>
        <w:t>If an unapproved tool joins a meeting you host, remove it; until it is gone, stop discussing organization business. If you are not the host, alert the host. Either way, report what happened (see Section 7.0).</w:t>
      </w:r>
    </w:p>
    <w:p>
      <w:pPr>
        <w:pStyle w:val="ListBullet"/>
      </w:pPr>
      <w:r>
        <w:t xml:space="preserve">Before you record a call or a meeting, or let a tool record it, tell everyone taking part and get their consent. US federal law and most states require only one participant's consent, a minority of states require everyone's, and other countries set their own rules. This policy requires everyone's consent everywhere. The AI Acceptable Use Policy adds conditions for tools that record; it does not relax this rule. </w:t>
      </w:r>
      <w:r>
        <w:rPr>
          <w:highlight w:val="yellow"/>
        </w:rPr>
        <w:t xml:space="preserve">[Consent-to-record law varies by state and by country. Have counsel confirm what applies where the organization's people work, then keep or tighten this rule.]</w:t>
      </w:r>
    </w:p>
    <w:p>
      <w:pPr>
        <w:pStyle w:val="ListBullet"/>
      </w:pPr>
      <w:r>
        <w:t xml:space="preserve">Store organization data in approved locations, where it is protected and backed up. Keeping a working copy on a local device is fine, as long as the master copy stays in an approved, backed-up location. Delete the working copy when the work is done.</w:t>
      </w:r>
    </w:p>
    <w:p>
      <w:pPr>
        <w:pStyle w:val="ListBullet"/>
      </w:pPr>
      <w:r>
        <w:t xml:space="preserve">If you receive a preservation notice, a subpoena, or a demand letter, or learn of a likely claim or investigation, tell the Information Security Lead the same day. Where the matter concerns the Information Security Lead, tell Executive Management (the organization's senior leadership, as the Information Security Policy defines it) instead. When the Information Security Lead puts information under a legal hold (an instruction to keep it for a legal matter), stop deleting that information, on the organization's systems and on an approved personal device alike, until the hold is lifted in writing.</w:t>
      </w:r>
    </w:p>
    <w:p>
      <w:pPr>
        <w:pStyle w:val="Heading2"/>
      </w:pPr>
      <w:r>
        <w:t xml:space="preserve">3.4 Accounts and Passwords</w:t>
      </w:r>
    </w:p>
    <w:p>
      <w:pPr>
        <w:pStyle w:val="ListBullet"/>
      </w:pPr>
      <w:r>
        <w:t>Keep credentials (usernames, passwords, sign-in codes) personal: never sign in with someone else's account, and never share yours (Section 3.2).</w:t>
      </w:r>
    </w:p>
    <w:p>
      <w:pPr>
        <w:pStyle w:val="ListBullet"/>
      </w:pPr>
      <w:r>
        <w:t>Use a long, unique password or passphrase for every organization account, or passkeys (a sign-in method that replaces the password with a credential your device or your password manager holds) where the organization has approved them in place of passwords. The Access Control Policy defines the requirements. Use a password manager to keep them: the organization's own where it provides one, otherwise one the Information Security Lead has approved. Keep organization passwords out of notes, spreadsheets, and paper files.</w:t>
      </w:r>
    </w:p>
    <w:p>
      <w:pPr>
        <w:pStyle w:val="ListBullet"/>
      </w:pPr>
      <w:r>
        <w:t>Use multi-factor authentication (MFA: a second sign-in step, such as an app prompt or a code) wherever the organization requires it. Complete its setup whenever an organization account offers or prompts for it, and never turn it off or weaken it; ask for help rather than skip it.</w:t>
      </w:r>
    </w:p>
    <w:p>
      <w:pPr>
        <w:pStyle w:val="ListBullet"/>
      </w:pPr>
      <w:r>
        <w:t xml:space="preserve">Do not use organization email addresses or passwords to sign up for personal, non-business services.</w:t>
      </w:r>
    </w:p>
    <w:p>
      <w:pPr>
        <w:pStyle w:val="ListBullet"/>
      </w:pPr>
      <w:r>
        <w:t>Deny and report any sign-in prompt or multi-factor approval you did not start and cannot explain. Never share or enter a verification code you did not request. If approval prompts keep coming, never approve one just to make them stop; report them.</w:t>
      </w:r>
    </w:p>
    <w:p>
      <w:pPr>
        <w:pStyle w:val="ListBullet"/>
      </w:pPr>
      <w:r>
        <w:t xml:space="preserve">Access only the systems and data needed for the job. Do not explore beyond authorized access, even when it is technically possible.</w:t>
      </w:r>
    </w:p>
    <w:p>
      <w:pPr>
        <w:pStyle w:val="Heading2"/>
      </w:pPr>
      <w:r>
        <w:t xml:space="preserve">3.5 Clear Desk and Clear Screen</w:t>
      </w:r>
    </w:p>
    <w:p>
      <w:pPr>
        <w:pStyle w:val="ListBullet"/>
      </w:pPr>
      <w:r>
        <w:t xml:space="preserve">Lock the screen whenever a device is left unattended.</w:t>
      </w:r>
    </w:p>
    <w:p>
      <w:pPr>
        <w:pStyle w:val="ListBullet"/>
      </w:pPr>
      <w:r>
        <w:t xml:space="preserve">Keep material holding sensitive information out of sight when it is not in use: store printed documents and removable media (USB drives, external disks) securely, collect printing from shared printers promptly, and dispose of printed sensitive information securely.</w:t>
      </w:r>
    </w:p>
    <w:p>
      <w:pPr>
        <w:pStyle w:val="ListBullet"/>
      </w:pPr>
      <w:r>
        <w:t xml:space="preserve">At the end of the working day, leave no sensitive information visible on desks, screens, or whiteboards, in the office or at home.</w:t>
      </w:r>
    </w:p>
    <w:p>
      <w:pPr>
        <w:pStyle w:val="ListBullet"/>
      </w:pPr>
      <w:r>
        <w:t>Take printed sensitive information off-site only when the work requires it. Protect it in transit, and dispose of it securely.</w:t>
      </w:r>
    </w:p>
    <w:p>
      <w:pPr>
        <w:pStyle w:val="Heading2"/>
      </w:pPr>
      <w:r>
        <w:t xml:space="preserve">3.6 Devices</w:t>
      </w:r>
    </w:p>
    <w:p>
      <w:pPr>
        <w:pStyle w:val="ListBullet"/>
      </w:pPr>
      <w:r>
        <w:t xml:space="preserve">Let security updates install promptly on every device used for business. Whether the organization installs them for you or you install them yourself, no security update stays uninstalled more than </w:t>
      </w:r>
      <w:r>
        <w:rPr>
          <w:highlight w:val="yellow"/>
        </w:rPr>
        <w:t>[14]</w:t>
      </w:r>
      <w:r>
        <w:t xml:space="preserve"> days after the vendor releases it. Where the Information Security Lead tells you an update fixes a weakness attackers are already using (a vulnerability known to be actively exploited), install it as soon as the device offers it, and no later than </w:t>
      </w:r>
      <w:r>
        <w:rPr>
          <w:highlight w:val="yellow"/>
        </w:rPr>
        <w:t xml:space="preserve">[3 days]</w:t>
      </w:r>
      <w:r>
        <w:t xml:space="preserve">. Never turn those updates off. </w:t>
      </w:r>
      <w:r>
        <w:rPr>
          <w:highlight w:val="yellow"/>
        </w:rPr>
        <w:t xml:space="preserve">[The Remote Work &amp; Mobile Device Policy carries these same limits; change both together.]</w:t>
      </w:r>
      <w:r>
        <w:t xml:space="preserve"> If updates keep failing, or the device stops being offered them at all, report it (see Section 7.0).</w:t>
      </w:r>
    </w:p>
    <w:p>
      <w:pPr>
        <w:pStyle w:val="ListBullet"/>
      </w:pPr>
      <w:r>
        <w:t xml:space="preserve">Personal devices used for business must be approved and enrolled in the organization's device management before they access organization data. A personal device already in use for business when this policy takes effect is approved and enrolled within </w:t>
      </w:r>
      <w:r>
        <w:rPr>
          <w:highlight w:val="yellow"/>
        </w:rPr>
        <w:t>[30 days]</w:t>
      </w:r>
      <w:r>
        <w:t xml:space="preserve"> of the effective date. A device that is not enrolled by the end of that window loses access to organization data. </w:t>
      </w:r>
      <w:r>
        <w:rPr>
          <w:highlight w:val="yellow"/>
        </w:rPr>
        <w:t xml:space="preserve">[The Remote Work &amp; Mobile Device Policy carries this same window; change both together.]</w:t>
      </w:r>
    </w:p>
    <w:p>
      <w:pPr>
        <w:pStyle w:val="ListBullet"/>
      </w:pPr>
      <w:r>
        <w:t xml:space="preserve">Enrollment installs a management profile, or, where the platform offers it, manages just the work apps and their data; either way the organization can protect its own data and remove it. Where the platform keeps organization data apart from personal content, that removal reaches the organization's data alone; Section 3.14 says what happens where the platform does not. Where this policy says management profile, it covers both. Enrolled personal devices must meet the same security requirements as organization-owned devices. </w:t>
      </w:r>
      <w:r>
        <w:rPr>
          <w:highlight w:val="yellow"/>
        </w:rPr>
        <w:t xml:space="preserve">[Where the Information Security Lead approves, access through the organization's virtual desktop or secure browser service, set up so it leaves no organization data on the device, may replace enrollment for a personal or contractor device. Keep this sentence only if the Remote Work &amp; Mobile Device Policy kept the same option; delete it otherwise.]</w:t>
      </w:r>
    </w:p>
    <w:p>
      <w:pPr>
        <w:pStyle w:val="ListBullet"/>
      </w:pPr>
      <w:r>
        <w:t xml:space="preserve">Enrollment also means signing the enrollment acknowledgment. It sets out what the organization can and cannot see on the device, including whether and when its location is visible, and how much of your device the organization's controls reach: a walled-off work area (a work profile), management of the work apps alone, the browser-only limit the Remote Work &amp; Mobile Device Policy may set, or the full-device wipe Section 3.14 describes. It also sets out your responsibility for backing up personal content, and the data removal terms in that section.</w:t>
      </w:r>
    </w:p>
    <w:p>
      <w:pPr>
        <w:pStyle w:val="ListBullet"/>
      </w:pPr>
      <w:r>
        <w:t xml:space="preserve">On an approved personal device, keep organization data out of your personal cloud backup, and off any computer you plug the device into. Where device management does not exclude it for you, turn the backup off for the work apps.</w:t>
      </w:r>
    </w:p>
    <w:p>
      <w:pPr>
        <w:pStyle w:val="ListBullet"/>
      </w:pPr>
      <w:r>
        <w:t xml:space="preserve">On any device used for business, keep the content of work mail, messages, and calendar off the locked screen, and keep authentication codes and approval prompts off it too. Where device management has not hidden those notifications for you, hide them yourself. </w:t>
      </w:r>
      <w:r>
        <w:rPr>
          <w:highlight w:val="yellow"/>
        </w:rPr>
        <w:t xml:space="preserve">[The Remote Work &amp; Mobile Device Policy carries this same rule; change both together.]</w:t>
      </w:r>
    </w:p>
    <w:p>
      <w:pPr>
        <w:pStyle w:val="ListBullet"/>
      </w:pPr>
      <w:r>
        <w:t xml:space="preserve">Install only the certificates and device management profiles the organization gives you. If a web page, a message, or a network you are joining asks you to install one, decline it and report it (see Section 7.0). </w:t>
      </w:r>
      <w:r>
        <w:rPr>
          <w:highlight w:val="yellow"/>
        </w:rPr>
        <w:t xml:space="preserve">[The Remote Work &amp; Mobile Device Policy carries this same rule; change both together.]</w:t>
      </w:r>
    </w:p>
    <w:p>
      <w:pPr>
        <w:pStyle w:val="ListBullet"/>
      </w:pPr>
      <w:r>
        <w:t xml:space="preserve">Tell IT or security operations before an approved personal device goes to anyone outside the organization for repair, resale, trade-in, or disposal, so the organization can remove its data first, as the Remote Work &amp; Mobile Device Policy provides.</w:t>
      </w:r>
    </w:p>
    <w:p>
      <w:pPr>
        <w:pStyle w:val="ListBullet"/>
      </w:pPr>
      <w:r>
        <w:t xml:space="preserve">Using a personal device is voluntary: anyone may decline, and declining is never a ground for discipline. Where the role's work requires a device, the organization provides an organization-owned one. The Remote Work &amp; Mobile Device Policy sets what the organization reimburses for business use of a personal device. </w:t>
      </w:r>
      <w:r>
        <w:rPr>
          <w:highlight w:val="yellow"/>
        </w:rPr>
        <w:t xml:space="preserve">[Keep these three sentences matched to that policy.]</w:t>
      </w:r>
    </w:p>
    <w:p>
      <w:pPr>
        <w:pStyle w:val="ListBullet"/>
      </w:pPr>
      <w:r>
        <w:t xml:space="preserve">A personal phone that runs only an authenticator app, and holds no organization mail, files, or chat, does not need enrolling, and the rule below on where business happens does not exclude it. Keep its built-in encryption on, keep it locked with a PIN (a numeric unlock code), and where a fingerprint or face check unlocks it, keep the PIN set behind that. Use the keyboard the phone came with, install apps on it only from the phone's app store with installation from other sources switched off, and turn off any feature that unlocks the phone from another device or keeps it unlocked. Keep its manufacturer security controls in place, keep the platform's find-my-device service switched on so the phone can be located, locked, and erased if it is lost, and let its security updates install on the same terms as any other device used for business. Report its loss immediately (see Section 7.0), and tell security operations once you have erased or locked the phone. Adding any other organization account, mail, chat, or file to that phone makes it a personal device used for business, so it is approved and enrolled before that access. </w:t>
      </w:r>
      <w:r>
        <w:rPr>
          <w:highlight w:val="yellow"/>
        </w:rPr>
        <w:t xml:space="preserve">[Keep this exemption matched to the Remote Work &amp; Mobile Device Policy.]</w:t>
      </w:r>
    </w:p>
    <w:p>
      <w:pPr>
        <w:pStyle w:val="ListBullet"/>
      </w:pPr>
      <w:r>
        <w:t xml:space="preserve">Do business only on an organization-owned device, an approved personal device, or a contractor firm's device the organization has accepted under the Remote Work &amp; Mobile Device Policy. A household computer, a hotel business center machine, or any other outside device is not used for organization work, however briefly: even a quick sign-in leaves credentials and data on a machine the organization cannot see or clean.</w:t>
      </w:r>
    </w:p>
    <w:p>
      <w:pPr>
        <w:pStyle w:val="ListBullet"/>
      </w:pPr>
      <w:r>
        <w:t xml:space="preserve">Protect devices physically: do not leave them unattended in public places or visible in vehicles, as the Remote Work &amp; Mobile Device Policy details.</w:t>
      </w:r>
    </w:p>
    <w:p>
      <w:pPr>
        <w:pStyle w:val="ListBullet"/>
      </w:pPr>
      <w:r>
        <w:t xml:space="preserve">Do not let anyone else use an organization-owned device. On any device, do not let anyone else open the organization's data, work apps, or accounts, including family and other people in your household.</w:t>
      </w:r>
    </w:p>
    <w:p>
      <w:pPr>
        <w:pStyle w:val="ListBullet"/>
      </w:pPr>
      <w:r>
        <w:t xml:space="preserve">Report a lost or stolen device immediately (see Section 7.0), whether it is organization-owned, a personal device used for business, or a personal phone that carries your authenticator app.</w:t>
      </w:r>
    </w:p>
    <w:p>
      <w:pPr>
        <w:pStyle w:val="Heading2"/>
      </w:pPr>
      <w:r>
        <w:t xml:space="preserve">3.7 Email, Messaging, and Internet</w:t>
      </w:r>
    </w:p>
    <w:p>
      <w:pPr>
        <w:pStyle w:val="ListBullet"/>
      </w:pPr>
      <w:r>
        <w:t>Do not act on unexpected attachments, links, QR codes, or requests for payments or for credentials, however they arrive: email, message, phone call, or video (attackers imitate voices and faces). Verify the request through a channel you know is real. Report suspected phishing (fake messages or calls designed to steal information or money) instead of engaging with it. Report it even if you already clicked the link, opened the attachment, or entered your details. The sooner you report, the less damage it does, and Section 7.0 protects a good-faith report.</w:t>
      </w:r>
    </w:p>
    <w:p>
      <w:pPr>
        <w:pStyle w:val="ListBullet"/>
      </w:pPr>
      <w:r>
        <w:t xml:space="preserve">Treat a request to change a vendor's, employee's, or customer's payment details (a new bank account, new payroll deposit) the same way: verify it with the requesting party through a contact channel already on file (not one from the request) before any change is made. Business email compromise (BEC) is fraud run through a compromised or impersonated business email account to have money sent or payment details changed, and a payment-change request is one of the ways it arrives.</w:t>
      </w:r>
    </w:p>
    <w:p>
      <w:pPr>
        <w:pStyle w:val="ListBullet"/>
      </w:pPr>
      <w:r>
        <w:t>Use the organization's approved email and messaging services for business communication. Do not forward organization email or files to personal accounts, whether manually or automatically.</w:t>
      </w:r>
    </w:p>
    <w:p>
      <w:pPr>
        <w:pStyle w:val="ListBullet"/>
      </w:pPr>
      <w:r>
        <w:t xml:space="preserve">Do not send sensitive information over channels the organization has not approved for it.</w:t>
      </w:r>
    </w:p>
    <w:p>
      <w:pPr>
        <w:pStyle w:val="ListBullet"/>
      </w:pPr>
      <w:r>
        <w:t xml:space="preserve">Check the recipients before you send. Autocomplete fills in the wrong recipient easily, and reply-all reaches everyone on the original message. If something does go to the wrong person, report it (see Section 7.0) and say what was in it; asking them to delete it is not enough on its own.</w:t>
      </w:r>
    </w:p>
    <w:p>
      <w:pPr>
        <w:pStyle w:val="ListBullet"/>
      </w:pPr>
      <w:r>
        <w:t xml:space="preserve">If information reaches you that you were not meant to see, whether through a misdirected message or a folder shared more widely than intended, stop reading it, do not forward it or keep a copy, and report it (see Section 7.0). Receiving it is not a violation.</w:t>
      </w:r>
    </w:p>
    <w:p>
      <w:pPr>
        <w:pStyle w:val="Heading2"/>
      </w:pPr>
      <w:r>
        <w:t xml:space="preserve">3.8 Social Media</w:t>
      </w:r>
    </w:p>
    <w:p>
      <w:pPr>
        <w:pStyle w:val="ListBullet"/>
      </w:pPr>
      <w:r>
        <w:t>Do not speak for the organization on social media or elsewhere online unless authorized to do so. When mentioning the organization in personal posts, make clear the opinions are your own.</w:t>
      </w:r>
    </w:p>
    <w:p>
      <w:pPr>
        <w:pStyle w:val="ListBullet"/>
      </w:pPr>
      <w:r>
        <w:t xml:space="preserve">Never share sensitive organization or customer information on social media, including in photos: screens, whiteboards, badges, and documents are easy to miss in the background.</w:t>
      </w:r>
    </w:p>
    <w:p>
      <w:pPr>
        <w:pStyle w:val="ListBullet"/>
      </w:pPr>
      <w:r>
        <w:t xml:space="preserve">Treat connection requests and direct messages from people you do not know with the same suspicion as unexpected email (see Section 3.7).</w:t>
      </w:r>
    </w:p>
    <w:p>
      <w:pPr>
        <w:pStyle w:val="Heading2"/>
      </w:pPr>
      <w:r>
        <w:t xml:space="preserve">3.9 Cloud Services and Software</w:t>
      </w:r>
    </w:p>
    <w:p>
      <w:pPr>
        <w:pStyle w:val="ListBullet"/>
      </w:pPr>
      <w:r>
        <w:t>Use only cloud services and applications the organization has approved when handling organization data or doing business tasks; adopting an unapproved service for business data is shadow IT, so request approval (see Section 4.0) or an exception (see Section 6.0) instead. Approval covers the organization's accounts on a service; the same service reached through a personal account is not approved for organization data.</w:t>
      </w:r>
    </w:p>
    <w:p>
      <w:pPr>
        <w:pStyle w:val="ListBullet"/>
      </w:pPr>
      <w:r>
        <w:t xml:space="preserve">Use software only under a valid license and only from sources the organization has approved.</w:t>
      </w:r>
    </w:p>
    <w:p>
      <w:pPr>
        <w:pStyle w:val="ListBullet"/>
      </w:pPr>
      <w:r>
        <w:t xml:space="preserve">When a service or application comes off the approved list, stop using it for the organization's work at once, and tell the Information Security Lead what organization data is in it and what access it still holds. The Information Security Lead has that access withdrawn and the data exported or deleted; where a vendor runs it, the exit follows the Vendor Risk Management Policy.</w:t>
      </w:r>
    </w:p>
    <w:p>
      <w:pPr>
        <w:pStyle w:val="Heading2"/>
      </w:pPr>
      <w:r>
        <w:t xml:space="preserve">3.10 Removable Media</w:t>
      </w:r>
    </w:p>
    <w:p>
      <w:pPr>
        <w:pStyle w:val="ListBullet"/>
      </w:pPr>
      <w:r>
        <w:t>Avoid removable media when an approved alternative exists. When removable media is genuinely needed, use organization-approved, encrypted media only. Never connect media of unknown origin. Copying sensitive information to removable media, even approved media, requires prior approval.</w:t>
      </w:r>
    </w:p>
    <w:p>
      <w:pPr>
        <w:pStyle w:val="Heading2"/>
      </w:pPr>
      <w:r>
        <w:t xml:space="preserve">3.11 Remote Work and Public Places</w:t>
      </w:r>
    </w:p>
    <w:p>
      <w:pPr>
        <w:pStyle w:val="ListBullet"/>
      </w:pPr>
      <w:r>
        <w:t>Follow the organization's remote work requirements when working outside the office. On untrusted networks, connect to internal systems over the approved connection methods. An untrusted network is home Wi-Fi, public Wi-Fi, a phone hotspot, or any other network the organization does not manage, and the usual approved method is the organization's VPN, a protected connection back to the organization's network. Ordinary, non-administrative sign-in to the organization's cloud services follows the Access Control Policy's normal rules and does not need the VPN; administrative access from outside the organization's networks always uses the approved connection methods, to cloud consoles as well as internal systems.</w:t>
      </w:r>
    </w:p>
    <w:p>
      <w:pPr>
        <w:pStyle w:val="ListBullet"/>
      </w:pPr>
      <w:r>
        <w:t xml:space="preserve">Position screens away from anyone not authorized for the information, at home as much as in public, and take sensitive calls where they cannot be overheard, including by a smart speaker or another device that listens. When screen sharing, show only the window the work needs rather than the whole desktop. </w:t>
      </w:r>
      <w:r>
        <w:rPr>
          <w:highlight w:val="yellow"/>
        </w:rPr>
        <w:t xml:space="preserve">[The Remote Work &amp; Mobile Device Policy carries these same rules; change both together.]</w:t>
      </w:r>
    </w:p>
    <w:p>
      <w:pPr>
        <w:pStyle w:val="ListBullet"/>
      </w:pPr>
      <w:r>
        <w:t xml:space="preserve">Get the Information Security Lead's approval before working from another country, and again before extending the stay. The Remote Work &amp; Mobile Device Policy sets what the Lead checks first, including whether your device and its encryption may lawfully go there and what the authorities may inspect on arrival.</w:t>
      </w:r>
    </w:p>
    <w:p>
      <w:pPr>
        <w:pStyle w:val="ListBullet"/>
      </w:pPr>
      <w:r>
        <w:t xml:space="preserve">If a border or government authority compels access to a device, comply as needed for your safety and lawful passage, then report it immediately (see Section 7.0); complying is never a violation of this policy.</w:t>
      </w:r>
    </w:p>
    <w:p>
      <w:pPr>
        <w:pStyle w:val="Heading2"/>
      </w:pPr>
      <w:r>
        <w:t xml:space="preserve">3.12 Physical Access and Visitors</w:t>
      </w:r>
    </w:p>
    <w:p>
      <w:pPr>
        <w:pStyle w:val="ListBullet"/>
      </w:pPr>
      <w:r>
        <w:t>Enter secured areas with your own badge or code. Never hold a secured door open for someone who has not used theirs (tailgating), even for someone you recognize. The one exception is a visitor you are escorting under the visitor rules in this section.</w:t>
      </w:r>
    </w:p>
    <w:p>
      <w:pPr>
        <w:pStyle w:val="ListBullet"/>
      </w:pPr>
      <w:r>
        <w:t xml:space="preserve">Bring visitors in only with the required approval (Section 4.0 says who approves), sign them in, and accompany them in non-public areas.</w:t>
      </w:r>
    </w:p>
    <w:p>
      <w:pPr>
        <w:pStyle w:val="ListBullet"/>
      </w:pPr>
      <w:r>
        <w:t>Do not enter data centers, server rooms, or network and equipment closets unless authorized. Report propped-open secured doors and unattended badges wherever you see them, and report people you do not recognize in restricted areas (see Section 7.0).</w:t>
      </w:r>
    </w:p>
    <w:p>
      <w:pPr>
        <w:pStyle w:val="Heading2"/>
      </w:pPr>
      <w:r>
        <w:t xml:space="preserve">3.13 Ownership, Monitoring, and Privacy</w:t>
      </w:r>
    </w:p>
    <w:p>
      <w:pPr>
        <w:pStyle w:val="ListBullet"/>
      </w:pPr>
      <w:r>
        <w:t xml:space="preserve">The business records on the organization's systems, such as its files, messages, and system logs, belong to the organization, and so does the copy of any work stored there. Who holds the copyright in work someone creates, such as a report, a design, or code, follows each person's employment or contract agreement; this policy does not decide it. </w:t>
      </w:r>
      <w:r>
        <w:rPr>
          <w:highlight w:val="yellow"/>
        </w:rPr>
        <w:t xml:space="preserve">[Check with counsel that those agreements assign the organization the work it expects to own. For work an employee creates within the scope of their employment, US copyright law makes the employer the owner unless a signed agreement says otherwise; for contractors and other non-employees it leaves ownership with the person who made the work unless a signed agreement assigns it.]</w:t>
      </w:r>
      <w:r>
        <w:t xml:space="preserve"> The organization does not claim personal content created through personal use (Section 3.1 sets its permitted scope). Monitoring of the organization's systems can still capture personal use on them.</w:t>
      </w:r>
    </w:p>
    <w:p>
      <w:pPr>
        <w:pStyle w:val="ListBullet"/>
      </w:pPr>
      <w:r>
        <w:t xml:space="preserve">To operate and protect its systems and information, investigate suspected violations, and meet its legal obligations, the organization may log, monitor, and inspect their use, to the extent local law permits. The same applies to activity in the organization's own accounts on services it provides or approves, including services another company hosts. Do not treat that activity as private. On a device the organization manages, what it can see includes the device's location, which the Remote Work &amp; Mobile Device Policy allows the organization to look up only in response to a reported loss or theft. This does not reach anyone's personal accounts, on those services or anywhere else. </w:t>
      </w:r>
      <w:r>
        <w:rPr>
          <w:highlight w:val="yellow"/>
        </w:rPr>
        <w:t xml:space="preserve">[Have counsel review this notice against local law and adapt the wording; the notice itself stays, because the Logging and Monitoring Policy keeps monitoring within the limits this notice sets.]</w:t>
      </w:r>
    </w:p>
    <w:p>
      <w:pPr>
        <w:pStyle w:val="ListBullet"/>
      </w:pPr>
      <w:r>
        <w:t>Where local law imposes additional requirements on workplace monitoring, the organization meets them before monitoring begins or continues. Depending on where its people work, that can mean giving each person written notice and keeping their acknowledgment, posting a notice where the people being monitored can see it, documenting the monitoring's scope and methods, or consulting employee representatives.</w:t>
      </w:r>
    </w:p>
    <w:p>
      <w:pPr>
        <w:pStyle w:val="ListBullet"/>
      </w:pPr>
      <w:r>
        <w:t xml:space="preserve">On an approved personal device, this ownership and monitoring reach the organization's data, accounts, and management profile, not personal content.</w:t>
      </w:r>
    </w:p>
    <w:p>
      <w:pPr>
        <w:pStyle w:val="Heading2"/>
      </w:pPr>
      <w:r>
        <w:t xml:space="preserve">3.14 Return of Assets</w:t>
      </w:r>
    </w:p>
    <w:p>
      <w:pPr>
        <w:pStyle w:val="ListBullet"/>
      </w:pPr>
      <w:r>
        <w:t xml:space="preserve">When employment or a contract ends, return every organization-owned asset (devices, storage media, access badges, and documents) by the last working day.</w:t>
      </w:r>
    </w:p>
    <w:p>
      <w:pPr>
        <w:pStyle w:val="ListBullet"/>
      </w:pPr>
      <w:r>
        <w:t xml:space="preserve">IT or security operations remove the organization's data from an approved personal device, or verify that it is removed, before access ends and no later than the last working day. Where a legal hold under Section 3.3 covers information that device may hold, IT or security operations preserves it first and records what was preserved. The removal then proceeds. Where a departure is abrupt and access stops at once under the Access Control Policy, the removal follows immediately instead. The same removal happens whenever approval for a personal device ends, including when the device is replaced. Removal reaches the organization's data, accounts, and management profile, not personal content (see Section 3.13). On a contractor firm's device, the contract governing the engagement carries the return or destruction of the organization's data, as the Remote Work &amp; Mobile Device Policy provides.</w:t>
      </w:r>
    </w:p>
    <w:p>
      <w:pPr>
        <w:pStyle w:val="ListBullet"/>
      </w:pPr>
      <w:r>
        <w:t xml:space="preserve">Removal has one exception: a device whose platform offers neither a walled-off work area nor management of the work apps alone, so the organization cannot take its data off without taking everything. On such a device, a loss or the end of approval may mean wiping the whole device. That wipe happens only if you agreed to it in writing at enrollment, so keep your own backup of personal content. A full wipe can also happen at your own request. </w:t>
      </w:r>
      <w:r>
        <w:rPr>
          <w:highlight w:val="yellow"/>
        </w:rPr>
        <w:t xml:space="preserve">[Keep the full-wipe sentences above only if the Remote Work &amp; Mobile Device Policy kept the full-wipe condition; where that policy limits such platforms to browser-only access instead, delete from "Removal has one exception" to the end of this paragraph.]</w:t>
      </w:r>
    </w:p>
    <w:p>
      <w:pPr>
        <w:pStyle w:val="ListBullet"/>
      </w:pPr>
      <w:r>
        <w:t>Leave the organization's remote data removal switched on at all times on an enrolled personal device, so it still works if the device is lost. If you turn it off (for example, by removing the management profile), approval ends: access stops immediately, and you must cooperate with the removal in this section, including presenting the device for verification if asked.</w:t>
      </w:r>
    </w:p>
    <w:p>
      <w:pPr>
        <w:pStyle w:val="ListBullet"/>
      </w:pPr>
      <w:r>
        <w:t xml:space="preserve">After employment or a contract ends, the duty to keep the organization's information confidential continues. Do not use or disclose that information, and return or destroy any copy you find later. Where a legal hold under Section 3.3 covers a copy you find, keep it and tell the Information Security Lead instead of destroying it. Report a copy you cannot return (see Section 7.0).</w:t>
      </w:r>
    </w:p>
    <w:p>
      <w:pPr>
        <w:pStyle w:val="Heading1"/>
      </w:pPr>
      <w:r>
        <w:t xml:space="preserve">4.0 Roles and Responsibilities</w:t>
      </w:r>
    </w:p>
    <w:p>
      <w:pPr>
        <w:pStyle w:val="ListBullet"/>
      </w:pPr>
      <w:r>
        <w:t xml:space="preserve">The Information Security Lead owns this policy, keeps it current, provides or arranges the security awareness training the Information Security Policy requires, and answers questions about what this policy requires.</w:t>
      </w:r>
    </w:p>
    <w:p>
      <w:pPr>
        <w:pStyle w:val="ListBullet"/>
      </w:pPr>
      <w:r>
        <w:t xml:space="preserve">The Information Security Lead approves, or delegates approval of, the tools, services, and storage locations this policy calls approved. The Information Security Lead keeps the list of approved tools and services where everyone covered by this policy can find it </w:t>
      </w:r>
      <w:r>
        <w:rPr>
          <w:highlight w:val="yellow"/>
        </w:rPr>
        <w:t xml:space="preserve">[name the place, for example the intranet page or shared folder where the list is kept]</w:t>
      </w:r>
      <w:r>
        <w:t xml:space="preserve">, and records on it the sensitivity levels each approval covers. </w:t>
      </w:r>
      <w:r>
        <w:rPr>
          <w:highlight w:val="yellow"/>
        </w:rPr>
        <w:t xml:space="preserve">[Keep the storage locations on this list matched to the storage locations list in the Data Handling Policy, or keep both in one place.]</w:t>
      </w:r>
      <w:r>
        <w:t xml:space="preserve"> AI tools may sit on this list, where it also records what the AI Acceptable Use Policy's Section 4.0 requires for each AI approval. Anything not on that list is not approved.</w:t>
      </w:r>
    </w:p>
    <w:p>
      <w:pPr>
        <w:pStyle w:val="ListBullet"/>
      </w:pPr>
      <w:r>
        <w:t xml:space="preserve">The Information Security Lead publishes the list within </w:t>
      </w:r>
      <w:r>
        <w:rPr>
          <w:highlight w:val="yellow"/>
        </w:rPr>
        <w:t xml:space="preserve">[90 days]</w:t>
      </w:r>
      <w:r>
        <w:t xml:space="preserve"> of the effective date, and reviews it at least </w:t>
      </w:r>
      <w:r>
        <w:rPr>
          <w:highlight w:val="yellow"/>
        </w:rPr>
        <w:t xml:space="preserve">[annually]</w:t>
      </w:r>
      <w:r>
        <w:t xml:space="preserve"> (keep both matched to the AI Acceptable Use Policy). Each review checks that every approval still matches what the tool does and what its terms allow.</w:t>
      </w:r>
    </w:p>
    <w:p>
      <w:pPr>
        <w:pStyle w:val="ListBullet"/>
      </w:pPr>
      <w:r>
        <w:t xml:space="preserve">Until the list is published, tools the organization already provides count as approved for the information they are already used for, and AI tools it provides count as approved for everyday information only; for a higher classification, the AI Acceptable Use Policy's Section 4.0 sets the route. Ask the Information Security Lead before adopting anything else.</w:t>
      </w:r>
    </w:p>
    <w:p>
      <w:pPr>
        <w:pStyle w:val="ListBullet"/>
      </w:pPr>
      <w:r>
        <w:t>IT or security operations (an internal team or a qualified service provider; in a small organization the Information Security Lead performs both) carry out the technical work this policy describes (device enrollment, update management, and the data removal in Section 3.14) under the Information Security Lead's direction, and keep each signed enrollment acknowledgment (Section 3.6) with the record of the device it covers.</w:t>
      </w:r>
    </w:p>
    <w:p>
      <w:pPr>
        <w:pStyle w:val="ListBullet"/>
      </w:pPr>
      <w:r>
        <w:t>Where this policy requires approval for an action (an extract beyond the assigned work, copying to removable media, bringing in a visitor), the Information Security Lead grants it or names who does. For a bulk extract, the Data Handling Policy also requires the information owner's approval; a single recorded approval that includes the owner satisfies both.</w:t>
      </w:r>
    </w:p>
    <w:p>
      <w:pPr>
        <w:pStyle w:val="ListBullet"/>
      </w:pPr>
      <w:r>
        <w:t xml:space="preserve">Managers make sure their teams know and follow this policy, and work with Human Resources when it is violated.</w:t>
      </w:r>
    </w:p>
    <w:p>
      <w:pPr>
        <w:pStyle w:val="ListBullet"/>
      </w:pPr>
      <w:r>
        <w:t xml:space="preserve">Human Resources (where the organization has none, a named manager or the Information Security Lead) collects and keeps policy acknowledgments and tracks required training, consistent with the Information Security Policy.</w:t>
      </w:r>
    </w:p>
    <w:p>
      <w:pPr>
        <w:pStyle w:val="ListBullet"/>
      </w:pPr>
      <w:r>
        <w:t>Everyone covered by this policy must follow it, complete the security awareness training the Information Security Policy requires, and acknowledge the policy on the schedule Appendix 1 sets.</w:t>
      </w:r>
    </w:p>
    <w:p>
      <w:pPr>
        <w:pStyle w:val="Heading1"/>
      </w:pPr>
      <w:r>
        <w:t xml:space="preserve">5.0 Policy Review and Updates</w:t>
      </w:r>
    </w:p>
    <w:p>
      <w:r>
        <w:t xml:space="preserve">This policy shall be reviewed at least annually, and sooner when the business, technology, regulations, or the threat environment change significantly. The Information Security Lead starts the review, and Executive Management approves changes before they take effect, following the review process in the Information Security Policy.</w:t>
      </w:r>
    </w:p>
    <w:p>
      <w:pPr>
        <w:pStyle w:val="Heading1"/>
      </w:pPr>
      <w:r>
        <w:t xml:space="preserve">6.0 Exceptions</w:t>
      </w:r>
    </w:p>
    <w:p>
      <w:r>
        <w:t xml:space="preserve">Any planned deviation from this policy requires a documented exception, requested and approved through the exception process in the Information Security Policy. Submit the request in writing to the Information Security Lead. Describe the business reason, what the exception covers, how long it is needed, and any temporary safeguards that reduce the risk. Exceptions expire and are reviewed under that process.</w:t>
      </w:r>
    </w:p>
    <w:p>
      <w:r>
        <w:t xml:space="preserve">An exception covers a temporary gap you planned for and asked about in advance. If you find a gap nobody planned, report it first (see Section 7.0); if it has to stay open after that, request an exception promptly. Deviating without approval, or leaving a discovered gap outside this process, is a violation (see Section 8.0).</w:t>
      </w:r>
    </w:p>
    <w:p>
      <w:pPr>
        <w:pStyle w:val="Heading1"/>
      </w:pPr>
      <w:r>
        <w:t xml:space="preserve">7.0 Reporting Security Incidents and Concerns</w:t>
      </w:r>
    </w:p>
    <w:p>
      <w:r>
        <w:t xml:space="preserve">Report suspected security incidents, phishing, and policy violations promptly. Report lost or stolen devices, access badges, keys, and removable media immediately. Use the incident reporting contacts kept in the Information Security Policy (its Appendix 1). </w:t>
      </w:r>
      <w:r>
        <w:rPr>
          <w:highlight w:val="yellow"/>
        </w:rPr>
        <w:t xml:space="preserve">[Where the organization has no Information Security Policy yet, name the reporting contact here.]</w:t>
      </w:r>
      <w:r>
        <w:t xml:space="preserve"> A report to any manager counts; the manager passes it to those contacts. A concern that involves the Information Security Lead, or anyone named in those contacts other than Executive Management, goes instead to Executive Management. A concern that involves Executive Management goes to the Board of Directors or the owners. A manager who receives either kind of report passes it on. </w:t>
      </w:r>
      <w:r>
        <w:rPr>
          <w:highlight w:val="yellow"/>
        </w:rPr>
        <w:t xml:space="preserve">[Where there is no Board and no separate owner, name here the outside contact the Information Security Policy records for these reports.]</w:t>
      </w:r>
      <w:r>
        <w:t xml:space="preserve"> Failing to report a security incident you know about or reasonably suspect is itself a policy violation (see Section 8.0).</w:t>
      </w:r>
    </w:p>
    <w:p>
      <w:r>
        <w:t xml:space="preserve">The organization does not punish anyone for making a good-faith report. </w:t>
      </w:r>
      <w:r>
        <w:rPr>
          <w:highlight w:val="yellow"/>
        </w:rPr>
        <w:t xml:space="preserve">[It treats an honest mistake reported promptly more leniently than one concealed, and a late report more leniently than no report at all.]</w:t>
      </w:r>
      <w:r>
        <w:t xml:space="preserve"> Any discipline for the underlying conduct follows Section 8.0.</w:t>
      </w:r>
    </w:p>
    <w:p>
      <w:pPr>
        <w:pStyle w:val="Heading1"/>
      </w:pPr>
      <w:r>
        <w:t xml:space="preserve">8.0 Violations and Disciplinary Action</w:t>
      </w:r>
    </w:p>
    <w:p>
      <w:r>
        <w:t xml:space="preserve">Anyone who violates this policy can face disciplinary action, up to and including termination of employment or contract, and legal action where applicable. The response to a violation will depend on its severity, its impact on the organization's security, and any legal or regulatory requirements.</w:t>
      </w:r>
    </w:p>
    <w:p>
      <w:pPr>
        <w:pStyle w:val="Heading1"/>
      </w:pPr>
      <w:r>
        <w:t xml:space="preserve">9.0 Related Policies and Standards</w:t>
      </w:r>
    </w:p>
    <w:p>
      <w:r>
        <w:t xml:space="preserve">This policy is a supporting policy of the Information Security Policy, the top-level document of the organization's information security policy set. This policy may set stricter rules; a stricter rule is not a conflict. If this policy contradicts the Information Security Policy, the Information Security Policy prevails.</w:t>
      </w:r>
    </w:p>
    <w:p>
      <w:r>
        <w:t xml:space="preserve">It works alongside these policies:</w:t>
      </w:r>
    </w:p>
    <w:p>
      <w:pPr>
        <w:pStyle w:val="ListBullet"/>
      </w:pPr>
      <w:r>
        <w:t xml:space="preserve">The Access Control Policy: the password, MFA, and sign-in requirements behind the account duties in Sections 3.4 and 3.11; that policy governs how the organization manages access.</w:t>
      </w:r>
    </w:p>
    <w:p>
      <w:pPr>
        <w:pStyle w:val="ListBullet"/>
      </w:pPr>
      <w:r>
        <w:t xml:space="preserve">The Data Handling Policy: classification, retention, disposal, and how the legal holds in Section 3.3 are declared and lifted.</w:t>
      </w:r>
    </w:p>
    <w:p>
      <w:pPr>
        <w:pStyle w:val="ListBullet"/>
      </w:pPr>
      <w:r>
        <w:t xml:space="preserve">The Encryption Policy: the standard behind the encrypted removable media Section 3.10 requires and the disk encryption Section 3.2 forbids disabling.</w:t>
      </w:r>
    </w:p>
    <w:p>
      <w:pPr>
        <w:pStyle w:val="ListBullet"/>
      </w:pPr>
      <w:r>
        <w:t xml:space="preserve">The Incident Response Policy: how the incidents and losses reported under Section 7.0 are handled.</w:t>
      </w:r>
    </w:p>
    <w:p>
      <w:pPr>
        <w:pStyle w:val="ListBullet"/>
      </w:pPr>
      <w:r>
        <w:t xml:space="preserve">The Remote Work &amp; Mobile Device Policy: the device standards, the personal-device approval and reimbursement terms, and the travel and data-removal rules behind Sections 3.6, 3.11, and 3.14.</w:t>
      </w:r>
    </w:p>
    <w:p>
      <w:pPr>
        <w:pStyle w:val="ListBullet"/>
      </w:pPr>
      <w:r>
        <w:t xml:space="preserve">The Vulnerability Management Policy: how the organization finds and fixes weaknesses in the systems it runs; Section 3.6 carries the update duty for the devices people use.</w:t>
      </w:r>
    </w:p>
    <w:p>
      <w:pPr>
        <w:pStyle w:val="ListBullet"/>
      </w:pPr>
      <w:r>
        <w:t xml:space="preserve">The Physical and Environmental Security Policy: the physical controls behind the clear-desk, screen-lock, and premises-conduct duties this policy sets.</w:t>
      </w:r>
    </w:p>
    <w:p>
      <w:pPr>
        <w:pStyle w:val="ListBullet"/>
      </w:pPr>
      <w:r>
        <w:t xml:space="preserve">The AI Acceptable Use Policy: the AI-specific rules for using AI tools, especially generative AI. Where the two differ on the use of an AI tool, that policy's more specific rules govern, except that it does not relax the consent to record in Section 3.3.</w:t>
      </w:r>
    </w:p>
    <w:p>
      <w:pPr>
        <w:pStyle w:val="ListBullet"/>
      </w:pPr>
      <w:r>
        <w:t xml:space="preserve">The Email Security Policy: the organization-side mail protections behind this policy's phishing and payment-verification duties.</w:t>
      </w:r>
    </w:p>
    <w:p>
      <w:pPr>
        <w:pStyle w:val="ListBullet"/>
      </w:pPr>
      <w:r>
        <w:t xml:space="preserve">The Logging and Monitoring Policy: what the organization logs and watches; Section 3.13's monitoring notice sets the limits that policy works within, and Section 3.2 forbids tampering with the records it keeps.</w:t>
      </w:r>
    </w:p>
    <w:p>
      <w:pPr>
        <w:pStyle w:val="ListBullet"/>
      </w:pPr>
      <w:r>
        <w:t xml:space="preserve">The Vendor Risk Management Policy: how a service is assessed and approved before Section 3.9 allows anyone to use it for the organization's work.</w:t>
      </w:r>
    </w:p>
    <w:p>
      <w:pPr>
        <w:pStyle w:val="ListBullet"/>
      </w:pPr>
      <w:r>
        <w:t xml:space="preserve">The Business Continuity &amp; Disaster Recovery Plan: the backups behind Section 3.3's rule that the master copy stays in an approved, backed-up location.</w:t>
      </w:r>
    </w:p>
    <w:p>
      <w:r>
        <w:t xml:space="preserve">Where any of these, or the Information Security Policy itself, does not exist yet, treat it as a roadmap item; the rules in this policy apply on their own regardless, and the Information Security Lead arranges the security awareness training and runs the review, exception, and acknowledgment processes Sections 4.0, 5.0, 6.0, and Appendix 1 point to.</w:t>
      </w:r>
    </w:p>
    <w:p>
      <w:r>
        <w:t xml:space="preserve">At a policy level, these rules put into practice the acceptable use, asset handling, and user responsibility controls of ISO/IEC 27001:2022 Annex A: controls 5.10 (acceptable use of information and other associated assets), 5.11 (return of assets), 5.14 (information transfer), 5.17 (authentication information, for the account rules in Section 3.4), 5.32 (intellectual property rights, for the licensing rules in Sections 3.1 and 3.9), 6.3 (information security awareness, education and training), 6.4 (disciplinary process), 6.5 (responsibilities after termination or change of employment), 6.8 (information security event reporting), 7.7 (clear desk and clear screen), 7.9 (security of assets off-premises), 7.10 (storage media), 8.1 (user end point devices), 8.7 (protection against malware, for the malware rules in Section 3.2), and 8.19 (installation of software on operational systems). They support the Govern and Protect functions of the NIST Cybersecurity Framework 2.0, and, through the monitoring in Section 3.13 and the reporting Section 7.0 requires, its Detect and Respond functions.</w:t>
      </w:r>
    </w:p>
    <w:p>
      <w:pPr>
        <w:pStyle w:val="Heading1"/>
      </w:pPr>
      <w:r>
        <w:t xml:space="preserve">Appendix 1: Acknowledgment</w:t>
      </w:r>
    </w:p>
    <w:p>
      <w:r>
        <w:t>Each person covered by this policy must acknowledge it before being granted access: at onboarding for new joiners, or when the policy takes effect for people already working. Each person must acknowledge it again annually, and when the Information Security Lead determines it has changed significantly.</w:t>
      </w:r>
    </w:p>
    <w:p>
      <w:r>
        <w:t xml:space="preserve">Human Resources keeps completed acknowledgments with the records of each person's employment or engagement, as evidence under Section 3.1 of the Information Security Policy. One recorded acknowledgment may cover this policy, the Information Security Policy, and any others the person must acknowledge, as that section provides. The policy applies to everyone in Section 2.0 from their first use of the organization's systems, whether or not an acknowledgment is on file.</w:t>
      </w:r>
    </w:p>
    <w:p>
      <w:pPr>
        <w:keepNext/>
      </w:pPr>
      <w:r>
        <w:t xml:space="preserve">I have read and understood the Acceptable Use Policy, and I agree to follow it.</w:t>
      </w:r>
    </w:p>
    <w:tbl>
      <w:tblPr>
        <w:tblStyle w:val="TableGrid"/>
        <w:tblW w:type="auto" w:w="0"/>
        <w:tblLook w:firstColumn="1" w:firstRow="1" w:lastColumn="0" w:lastRow="0" w:noHBand="0" w:noVBand="1" w:val="04A0"/>
      </w:tblPr>
      <w:tblGrid>
        <w:gridCol w:w="2700"/>
        <w:gridCol w:w="2700"/>
        <w:gridCol w:w="2700"/>
        <w:gridCol w:w="2700"/>
      </w:tblGrid>
      <w:tr>
        <w:trPr>
          <w:tblHeader/>
        </w:trPr>
        <w:tc>
          <w:tcPr>
            <w:tcW w:type="dxa" w:w="2700"/>
          </w:tcPr>
          <w:p>
            <w:pPr>
              <w:keepNext/>
            </w:pPr>
            <w:r>
              <w:rPr>
                <w:b/>
              </w:rPr>
              <w:t xml:space="preserve">Name (printed)</w:t>
            </w:r>
          </w:p>
        </w:tc>
        <w:tc>
          <w:tcPr>
            <w:tcW w:type="dxa" w:w="2700"/>
          </w:tcPr>
          <w:p>
            <w:pPr>
              <w:keepNext/>
            </w:pPr>
            <w:r>
              <w:rPr>
                <w:b/>
              </w:rPr>
              <w:t xml:space="preserve">Signature</w:t>
            </w:r>
          </w:p>
        </w:tc>
        <w:tc>
          <w:tcPr>
            <w:tcW w:type="dxa" w:w="2700"/>
          </w:tcPr>
          <w:p>
            <w:pPr>
              <w:keepNext/>
            </w:pPr>
            <w:r>
              <w:rPr>
                <w:b/>
              </w:rPr>
              <w:t xml:space="preserve">Date</w:t>
            </w:r>
          </w:p>
        </w:tc>
        <w:tc>
          <w:tcPr>
            <w:tcW w:type="dxa" w:w="2700"/>
          </w:tcPr>
          <w:p>
            <w:pPr>
              <w:keepNext/>
            </w:pPr>
            <w:r>
              <w:rPr>
                <w:b/>
              </w:rPr>
              <w:t xml:space="preserve">Policy version</w:t>
            </w:r>
          </w:p>
        </w:tc>
      </w:tr>
      <w:tr>
        <w:trPr>
          <w:trHeight w:hRule="atLeast" w:val="576"/>
        </w:trPr>
        <w:tc>
          <w:tcPr>
            <w:tcW w:type="dxa" w:w="2700"/>
          </w:tcPr>
          <w:p/>
        </w:tc>
        <w:tc>
          <w:tcPr>
            <w:tcW w:type="dxa" w:w="2700"/>
          </w:tcPr>
          <w:p/>
        </w:tc>
        <w:tc>
          <w:tcPr>
            <w:tcW w:type="dxa" w:w="2700"/>
          </w:tcPr>
          <w:p/>
        </w:tc>
        <w:tc>
          <w:tcPr>
            <w:tcW w:type="dxa" w:w="2700"/>
          </w:tcPr>
          <w:p/>
        </w:tc>
      </w:tr>
    </w:tbl>
    <w:p>
      <w:pPr>
        <w:spacing w:before="0" w:after="0" w:line="20" w:lineRule="exact"/>
        <w:rPr>
          <w:sz w:val="4"/>
          <w:szCs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Acceptable Use Policy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8</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3239</Words>
  <Characters>18359</Characters>
  <DocSecurity>0</DocSecurity>
  <Lines>180</Lines>
  <Paragraphs>139</Paragraphs>
  <ScaleCrop>false</ScaleCrop>
  <HeadingPairs>
    <vt:vector size="2" baseType="variant">
      <vt:variant>
        <vt:lpstr>Title</vt:lpstr>
      </vt:variant>
      <vt:variant>
        <vt:i4>1</vt:i4>
      </vt:variant>
    </vt:vector>
  </HeadingPairs>
  <TitlesOfParts>
    <vt:vector size="1" baseType="lpstr">
      <vt:lpstr>Acceptable Use Policy</vt:lpstr>
    </vt:vector>
  </TitlesOfParts>
  <Manager/>
  <Company>anoBytes Technology Solutions LLC</Company>
  <LinksUpToDate>false</LinksUpToDate>
  <CharactersWithSpaces>21469</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Acceptable Use Policy</dc:title>
  <dc:subject>Acceptable use policy template</dc:subject>
  <dc:creator>Nelson Pereira, anoBytes Technology Solutions LLC</dc:creator>
  <cp:keywords>credentials, mfa, multi-factor, removable media, usb, shadow it, social media, vpn, sign-in codes, qr codes, payment-verification, payment details, intellectual property, business email compromise, bec, clear desk, clear screen, lock the screen, tailgating, visitors, access badges, secured areas, server rooms, monitoring, privacy, workplace monitoring, return of assets, last working day, acknowledgment, onboarding, cryptocurrency, browser extensions, software licensing, audit trails, enrollment, work profile, untrusted network, public wi-fi, wifi, internet, ai assistants, ai agents, meeting note-takers, disciplinary, artificial intelligence, passkeys, passphrase, authenticator app, consent, recording, legal hold, preservation notice, subpoena, wrong recipient, reply-all, byod, bring your own device, household computer, security updates, personal phone, password manager, copyright, ownership, misdirected, notetaker, security awareness training, printing, list of approved tools, peripherals, cloud backup, actively exploited, another country, certificate, management profile</cp:keywords>
  <dc:description>The everyday rules for your staff, covering passwords, phishing, AI tools, and personal devices. Everyone reads and acknowledges this one and the Information Security Policy.</dc:description>
  <cp:lastModifiedBy/>
  <cp:revision>1</cp:revision>
  <dcterms:created xsi:type="dcterms:W3CDTF">2026-07-14T00:00:00Z</dcterms:created>
  <dcterms:modified xsi:type="dcterms:W3CDTF">2026-09-09T00:00:00Z</dcterms:modified>
  <cp:category>Template</cp:category>
</cp:coreProperties>
</file>