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AI Acceptable Use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AI Acceptable Use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defines the acceptable use of artificial intelligence (AI) tools at </w:t>
      </w:r>
      <w:r>
        <w:rPr>
          <w:highlight w:val="yellow"/>
        </w:rPr>
        <w:t xml:space="preserve">[Company Name]</w:t>
      </w:r>
      <w:r>
        <w:t xml:space="preserve"> ("the organization"), with a focus on generative AI: the assistants that create text, code, images, audio, or video from a prompt. Used carelessly, these tools can leak the organization's data, produce confident but wrong results, infringe someone's rights, or make decisions that harm people. This policy sets the rules for using AI at work: which tools may be used, for what, with what data, and the checks expected of everyone who uses them.</w:t>
      </w:r>
    </w:p>
    <w:p>
      <w:r>
        <w:rPr/>
        <w:t>This policy is a supporting policy of the organization's Information Security Policy. It is the AI companion to the Acceptable Use Policy: that policy sets the general rules for the systems, data, and online services people use; this one adds the duties that come with AI (see Section 9.0). It aligns with the NIST Artificial Intelligence Risk Management Framework (AI RMF 1.0) and its Generative AI Profile (NIST AI 600-1); the alignment is for structure and good practice, not a certification claim, and Appendix 2 maps it.</w:t>
      </w:r>
    </w:p>
    <w:p>
      <w:pPr>
        <w:pStyle w:val="Heading1"/>
      </w:pPr>
      <w:r>
        <w:t xml:space="preserve">2.0 Scope</w:t>
      </w:r>
    </w:p>
    <w:p>
      <w:r>
        <w:t xml:space="preserve">This policy applies to everyone who uses AI tools for the organization's work: employees, contractors, and any other authorized users, on any device, wherever they work. It covers every AI tool used for organization business, whether the organization has approved it or not, and whether it is a standalone service (a chatbot or assistant) or an AI feature built into other software. It covers the organization's data and accounts used with those tools.</w:t>
      </w:r>
    </w:p>
    <w:p>
      <w:r>
        <w:rPr/>
        <w:t>This policy governs the day-to-day use of AI tools. On its own, it does not cover building, training, fine-tuning, or putting into service an AI system the organization has made, whether it sells that system or runs it for itself; the Secure Development Policy covers that work. An organization that does that work applies a fuller AI risk process (the Map, Measure, and Manage activities of the NIST AI RMF) alongside that policy. Buying an AI tool and running it counts as use, so this policy covers it, and Section 3.11 sets out what the EU AI Act then asks of an organization in that position. On an approved personal device, this policy reaches the organization's data, accounts, and business use, not personal content, on the same terms as the Acceptable Use Policy.</w:t>
      </w:r>
    </w:p>
    <w:p>
      <w:pPr>
        <w:pStyle w:val="Heading1"/>
      </w:pPr>
      <w:r>
        <w:t xml:space="preserve">3.0 Policy Statements</w:t>
      </w:r>
    </w:p>
    <w:p>
      <w:r>
        <w:t xml:space="preserve">Throughout this policy, a statement of what the organization or its people do ("is reviewed",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Definitions</w:t>
      </w:r>
    </w:p>
    <w:p>
      <w:pPr>
        <w:pStyle w:val="ListBullet"/>
      </w:pPr>
      <w:r>
        <w:t xml:space="preserve">Artificial intelligence (AI): software that performs tasks normally needing human intelligence, such as understanding language, recognizing patterns, or generating content.</w:t>
      </w:r>
    </w:p>
    <w:p>
      <w:pPr>
        <w:pStyle w:val="ListBullet"/>
      </w:pPr>
      <w:r>
        <w:t xml:space="preserve">Generative AI (GenAI): AI that creates new content (text, code, images, audio, or video) in response to a prompt. A large language model (LLM) assistant, such as a chatbot or a coding or writing assistant, is the most common form.</w:t>
      </w:r>
    </w:p>
    <w:p>
      <w:pPr>
        <w:pStyle w:val="ListBullet"/>
      </w:pPr>
      <w:r>
        <w:t xml:space="preserve">AI tool: any application or service, standalone or built into other software, that uses AI to do work with the organization's data or on its behalf.</w:t>
      </w:r>
    </w:p>
    <w:p>
      <w:pPr>
        <w:pStyle w:val="ListBullet"/>
      </w:pPr>
      <w:r>
        <w:t xml:space="preserve">Prompt: the instruction or information a person gives an AI tool to get a result.</w:t>
      </w:r>
    </w:p>
    <w:p>
      <w:pPr>
        <w:pStyle w:val="ListBullet"/>
      </w:pPr>
      <w:r>
        <w:t xml:space="preserve">AI output: the content an AI tool produces.</w:t>
      </w:r>
    </w:p>
    <w:p>
      <w:pPr>
        <w:pStyle w:val="ListBullet"/>
      </w:pPr>
      <w:r>
        <w:t xml:space="preserve">Confabulation (also called hallucination): confident, plausible output that is factually wrong or invented. It is common in generative AI, so expect it in any output.</w:t>
      </w:r>
    </w:p>
    <w:p>
      <w:pPr>
        <w:pStyle w:val="ListBullet"/>
      </w:pPr>
      <w:r>
        <w:t xml:space="preserve">Human oversight: a person with the knowledge, information, and authority to review, correct, or overrule what an AI tool produces before it is used or relied on.</w:t>
      </w:r>
    </w:p>
    <w:p>
      <w:pPr>
        <w:pStyle w:val="ListBullet"/>
      </w:pPr>
      <w:r>
        <w:t xml:space="preserve">Consequential use: use of AI that affects a person's rights, safety, money, or legal standing, for example a use that feeds a decision about hiring, dismissal, pay, discipline, credit, insurance, housing, healthcare, education, benefits, or access to a service.</w:t>
      </w:r>
    </w:p>
    <w:p>
      <w:pPr>
        <w:pStyle w:val="ListBullet"/>
      </w:pPr>
      <w:r>
        <w:t xml:space="preserve">Consequential decision: the decision such a use feeds.</w:t>
      </w:r>
    </w:p>
    <w:p>
      <w:pPr>
        <w:pStyle w:val="ListBullet"/>
      </w:pPr>
      <w:r>
        <w:t xml:space="preserve">Everyday information: organization information that is not sensitive. Where the Data Handling Policy is in place, this is the information it classifies Public or Internal; sensitive information is what it classifies Confidential or above.</w:t>
      </w:r>
    </w:p>
    <w:p>
      <w:pPr>
        <w:pStyle w:val="ListBullet"/>
      </w:pPr>
      <w:r>
        <w:t xml:space="preserve">Meaningful AI assistance: use of an AI tool that shaped what the work says, rather than spelling, grammar, or formatting help. </w:t>
      </w:r>
      <w:r>
        <w:rPr>
          <w:highlight w:val="yellow"/>
        </w:rPr>
        <w:t xml:space="preserve">[Set a different line here if your clients or regulators draw one.]</w:t>
      </w:r>
    </w:p>
    <w:p>
      <w:pPr>
        <w:pStyle w:val="Heading2"/>
      </w:pPr>
      <w:r>
        <w:t xml:space="preserve">3.2 Approved Tools and Shadow AI</w:t>
      </w:r>
    </w:p>
    <w:p>
      <w:pPr>
        <w:pStyle w:val="ListBullet"/>
      </w:pPr>
      <w:r>
        <w:t xml:space="preserve">Use only AI tools the organization has approved for the task and for the sensitivity of the data involved. The organization keeps a list of approved AI tools where everyone covered by this policy can find it; anything not on that list is not approved (Section 4.0 covers the transition, including a tool still under review when the list is published, and a new AI feature inside approved software follows the rule below).</w:t>
      </w:r>
    </w:p>
    <w:p>
      <w:pPr>
        <w:pStyle w:val="ListBullet"/>
      </w:pPr>
      <w:r>
        <w:rPr/>
        <w:t>Adopting an unapproved AI tool for organization work ("shadow AI") is prohibited. Request approval or an exception instead (Section 6.0). This includes AI browser extensions, meeting note-takers, and AI agents that act on your behalf; granting one access to organization accounts, meetings, or data counts as adopting it. A tool you started using before this policy took effect counts as adopted too, and it needs approval to stay in use for organization work. Section 4.0 gives you a window to declare it, and you may keep using it for everyday information while it is on the review list.</w:t>
      </w:r>
    </w:p>
    <w:p>
      <w:pPr>
        <w:pStyle w:val="ListBullet"/>
      </w:pPr>
      <w:r>
        <w:rPr/>
        <w:t>A tool approved for everyday information (Section 3.1) is not approved for sensitive information. Approval covers the organization's own accounts on a tool. The same tool reached through a personal account, or any other account outside the organization's control, is not covered. Tell the Information Security Lead when a tool's terms, data practices, or capabilities change, so the approval can be reconsidered.</w:t>
      </w:r>
    </w:p>
    <w:p>
      <w:pPr>
        <w:pStyle w:val="ListBullet"/>
      </w:pPr>
      <w:r>
        <w:rPr/>
        <w:t>An approval can allow a tool to act on its own, such as an AI agent or a meeting note-taker that posts its summaries. When a tool acts on its own, no person reviews each output before use, so the approval must define the replacement checks: what is checked, by whom, and when (Section 3.6). It also states how the tool's actions are recorded and who can stop it, and names the person accountable for the tool's operation and for those checks (Section 3.9), who answers for whether they were defined, run, and acted on.</w:t>
      </w:r>
    </w:p>
    <w:p>
      <w:pPr>
        <w:pStyle w:val="ListBullet"/>
      </w:pPr>
      <w:r>
        <w:rPr/>
        <w:t xml:space="preserve">Every approval states what the tool may reach and what it may do, held to what the approved use needs. An assistant given access to a whole mailbox or file store, when the task needs one folder, acts on all of it if its instructions are manipulated (Section 3.10).</w:t>
      </w:r>
    </w:p>
    <w:p>
      <w:pPr>
        <w:pStyle w:val="ListBullet"/>
      </w:pPr>
      <w:r>
        <w:rPr/>
        <w:t xml:space="preserve">No approval lets a tool act on its own for a consequential use (Section 3.1); a person makes that decision (Sections 3.4 and 3.9).</w:t>
      </w:r>
    </w:p>
    <w:p>
      <w:pPr>
        <w:pStyle w:val="ListBullet"/>
      </w:pPr>
      <w:r>
        <w:rPr/>
        <w:t xml:space="preserve">A tool that records or transcribes a meeting is approved only on these conditions: the Information Security Lead has checked what the consent-to-record laws require in the places participants join from, and whoever schedules the meeting tells participants that an AI tool is capturing it and gets their agreement. The Acceptable Use Policy requires everyone's consent wherever the meeting happens, and Section 9.0's precedence does not lift that. </w:t>
      </w:r>
      <w:r>
        <w:rPr>
          <w:highlight w:val="yellow"/>
        </w:rPr>
        <w:t xml:space="preserve">[Consent-to-record law varies by state and by country, and some places add duties beyond consent. Have counsel confirm what applies where the organization's people work.]</w:t>
      </w:r>
    </w:p>
    <w:p>
      <w:pPr>
        <w:pStyle w:val="ListBullet"/>
      </w:pPr>
      <w:r>
        <w:t xml:space="preserve">When a new AI feature appears inside software the organization already uses, that feature is not automatically approved for sensitive information or for a consequential use (Section 3.1); it needs the organization's decision. </w:t>
      </w:r>
      <w:r>
        <w:rPr>
          <w:highlight w:val="yellow"/>
        </w:rPr>
        <w:t xml:space="preserve">[Until the organization decides, people may use the feature for everyday information under the host software's approval.]</w:t>
      </w:r>
      <w:r>
        <w:t xml:space="preserve"> The Information Security Lead reviews each such feature at least </w:t>
      </w:r>
      <w:r>
        <w:rPr>
          <w:highlight w:val="yellow"/>
        </w:rPr>
        <w:t xml:space="preserve">[quarterly]</w:t>
      </w:r>
      <w:r>
        <w:t xml:space="preserve">, and at the first review decides whether the feature is approved, for what data, and whether it stays available. Where someone needs the feature sooner for information above that level, the Information Security Lead decides in writing without waiting for the next review.</w:t>
      </w:r>
    </w:p>
    <w:p>
      <w:pPr>
        <w:pStyle w:val="ListBullet"/>
      </w:pPr>
      <w:r>
        <w:t xml:space="preserve">When a tool comes off the approved list, stop using it for the organization's work at once, and tell the Information Security Lead what organization data is in it and what access it still holds to accounts, calendars, or files. The Information Security Lead has that access withdrawn and the data exported or deleted; where a vendor runs it, the exit follows the Vendor Risk Management Policy.</w:t>
      </w:r>
    </w:p>
    <w:p>
      <w:pPr>
        <w:pStyle w:val="Heading2"/>
      </w:pPr>
      <w:r>
        <w:t xml:space="preserve">3.3 Permitted Uses</w:t>
      </w:r>
    </w:p>
    <w:p>
      <w:pPr>
        <w:pStyle w:val="ListBullet"/>
      </w:pPr>
      <w:r>
        <w:rPr/>
        <w:t>Within the limits of this policy, AI tools may assist with everyday work such as drafting and editing text, summarizing documents, brainstorming, finding research starting points, and coding, with data the approval for that tool allows.</w:t>
      </w:r>
    </w:p>
    <w:p>
      <w:pPr>
        <w:pStyle w:val="ListBullet"/>
      </w:pPr>
      <w:r>
        <w:t xml:space="preserve">The person using or forwarding AI output stays responsible for it, as if they had produced it themselves, whatever the tool produced or recommended (see Sections 3.6 and 3.9).</w:t>
      </w:r>
    </w:p>
    <w:p>
      <w:pPr>
        <w:pStyle w:val="ListBullet"/>
      </w:pPr>
      <w:r>
        <w:rPr/>
        <w:t xml:space="preserve">Consequential uses (Section 3.1) carry the extra duties in Sections 3.6, 3.8, 3.9, 3.11, and 3.12. Some consequential uses need prior approval; the list of approved AI tools says which. </w:t>
      </w:r>
      <w:r>
        <w:rPr>
          <w:highlight w:val="yellow"/>
        </w:rPr>
        <w:t>[The organization sets tiers of permitted use to match its own risk tolerance (how much risk it accepts) and records the limits with the list of approved AI tools.]</w:t>
      </w:r>
    </w:p>
    <w:p>
      <w:pPr>
        <w:pStyle w:val="Heading2"/>
      </w:pPr>
      <w:r>
        <w:t xml:space="preserve">3.4 Prohibited Uses</w:t>
      </w:r>
    </w:p>
    <w:p>
      <w:r>
        <w:t xml:space="preserve">Everyone covered by this policy must not:</w:t>
      </w:r>
    </w:p>
    <w:p>
      <w:pPr>
        <w:pStyle w:val="ListBullet"/>
      </w:pPr>
      <w:r>
        <w:rPr/>
        <w:t>Put organization information into an AI tool in a way Section 3.5, the Acceptable Use Policy, or a current approval does not allow.</w:t>
      </w:r>
    </w:p>
    <w:p>
      <w:pPr>
        <w:pStyle w:val="ListBullet"/>
      </w:pPr>
      <w:r>
        <w:t xml:space="preserve">Let an AI tool settle a consequential decision about a person (Section 3.1). AI may inform such a decision only when a person exercising human oversight makes the final decision and every safeguard the law requires is in place.</w:t>
      </w:r>
    </w:p>
    <w:p>
      <w:pPr>
        <w:pStyle w:val="ListBullet"/>
      </w:pPr>
      <w:r>
        <w:t xml:space="preserve">Use AI to create unlawful, harassing, discriminatory, violent, hateful, or sexually abusive material, content that helps build weapons or cause serious harm, or anything else the Acceptable Use Policy or the law forbids. Sexual images of a real, identifiable person made without that person's consent are covered, whether or not they are presented as genuine.</w:t>
      </w:r>
    </w:p>
    <w:p>
      <w:pPr>
        <w:pStyle w:val="ListBullet"/>
      </w:pPr>
      <w:r>
        <w:t xml:space="preserve">Use AI to deceive: to impersonate a real person, to present AI-generated media as a genuine recording of real events or real people (a deepfake), to fabricate evidence, or to pass off AI-generated work as original where Section 3.8 requires the assistance to be disclosed (see also Section 3.7).</w:t>
      </w:r>
    </w:p>
    <w:p>
      <w:pPr>
        <w:pStyle w:val="ListBullet"/>
      </w:pPr>
      <w:r>
        <w:t xml:space="preserve">Use AI to attack, disrupt, or gain unauthorized access to any system, account, or data, the organization's or anyone else's. This includes using AI to probe systems for weaknesses, find or exploit vulnerabilities, create or improve malicious code, or craft phishing messages or other social-engineering material. The Acceptable Use Policy's rules against misusing systems apply in full when AI does the work. Security work such as penetration testing or tool vetting is permitted only with written authorization from the Information Security Lead.</w:t>
      </w:r>
    </w:p>
    <w:p>
      <w:pPr>
        <w:pStyle w:val="ListBullet"/>
      </w:pPr>
      <w:r>
        <w:t xml:space="preserve">Defeat, disable, bypass, or weaken an AI tool's safety controls or the organization's security controls, for example by "jailbreaking" a model to strip its safeguards or by planting hidden instructions in content an AI tool will read (prompt injection). The same written-authorization rule covers legitimate testing of these controls.</w:t>
      </w:r>
    </w:p>
    <w:p>
      <w:pPr>
        <w:pStyle w:val="ListBullet"/>
      </w:pPr>
      <w:r>
        <w:t xml:space="preserve">Rely on AI output as fact, advice, or a decision without the verification Section 3.6 requires.</w:t>
      </w:r>
    </w:p>
    <w:p>
      <w:pPr>
        <w:pStyle w:val="ListBullet"/>
      </w:pPr>
      <w:r>
        <w:t xml:space="preserve">Use AI in a way that infringes someone else's intellectual property or breaks a license, contract, or confidentiality obligation (see Section 3.7).</w:t>
      </w:r>
    </w:p>
    <w:p>
      <w:pPr>
        <w:pStyle w:val="Heading2"/>
      </w:pPr>
      <w:r>
        <w:t xml:space="preserve">3.5 Data Handling for AI Inputs</w:t>
      </w:r>
    </w:p>
    <w:p>
      <w:pPr>
        <w:pStyle w:val="ListBullet"/>
      </w:pPr>
      <w:r>
        <w:rPr/>
        <w:t>Never enter organization information into an AI tool the organization has not approved for that information's classification, and never enter it into any AI tool through a personal account. For what data may go into an AI tool and at which classification, follow the Acceptable Use Policy and the Data Handling Policy (Section 9.0). The Data Handling Policy is the single source for what each classification means; until it exists, the Acceptable Use Policy's description of sensitive information applies. Where neither is in place yet, treat customer data, personal information, financial records, intellectual property, credentials and keys, security configurations, and contracts as sensitive information.</w:t>
      </w:r>
    </w:p>
    <w:p>
      <w:pPr>
        <w:pStyle w:val="ListBullet"/>
      </w:pPr>
      <w:r>
        <w:t xml:space="preserve">Treat anything entered into an AI tool the organization has no contract with, such as a free or personal-tier consumer service, as leaving your control. Assume prompts may be stored, read by the provider, or used to improve its models unless a contract with the provider says otherwise.</w:t>
      </w:r>
    </w:p>
    <w:p>
      <w:pPr>
        <w:pStyle w:val="ListBullet"/>
      </w:pPr>
      <w:r>
        <w:t xml:space="preserve">Never enter passwords, keys, tokens, other credentials, or security details into any AI tool.</w:t>
      </w:r>
    </w:p>
    <w:p>
      <w:pPr>
        <w:pStyle w:val="ListBullet"/>
      </w:pPr>
      <w:r>
        <w:rPr/>
        <w:t xml:space="preserve">Enter only the data the task needs. Where the task does not need the real thing, use a made-up example, which carries no classification. Trimming or summarizing real information does not lower its classification: an extract or a summary carries the level of what it came from, so the tool must still be approved for that level. Only the Data Handling Policy decides whether information anonymized under its own process drops to a lower level.</w:t>
      </w:r>
    </w:p>
    <w:p>
      <w:pPr>
        <w:pStyle w:val="Heading2"/>
      </w:pPr>
      <w:r>
        <w:t xml:space="preserve">3.6 Reviewing and Verifying Output</w:t>
      </w:r>
    </w:p>
    <w:p>
      <w:pPr>
        <w:pStyle w:val="ListBullet"/>
      </w:pPr>
      <w:r>
        <w:t xml:space="preserve">Treat AI output as a draft to be checked before you use it. Generative AI produces confident, fluent output that can be wrong or invented (confabulation).</w:t>
      </w:r>
    </w:p>
    <w:p>
      <w:pPr>
        <w:pStyle w:val="ListBullet"/>
      </w:pPr>
      <w:r>
        <w:rPr/>
        <w:t>A person reviews and verifies AI output before it is used, relied on, published, or passed to others to rely on. Where an approval lets a tool act on its own, the replacement checks defined in that approval (Section 3.2) take the place of that review for the actions the approval covers. Every other use of the tool still gets a person's review. Check facts, figures, quotes, citations, calculations, and code against trusted sources, and confirm legal, financial, medical, or safety claims with a qualified person.</w:t>
      </w:r>
    </w:p>
    <w:p>
      <w:pPr>
        <w:pStyle w:val="ListBullet"/>
      </w:pPr>
      <w:r>
        <w:t xml:space="preserve">Scale the checking to what the output will be used for: a consequential use (Section 3.1) needs the verification above and the oversight in Section 3.9, while an internal draft needs enough checking to catch what would mislead a colleague.</w:t>
      </w:r>
    </w:p>
    <w:p>
      <w:pPr>
        <w:pStyle w:val="Heading2"/>
      </w:pPr>
      <w:r>
        <w:t xml:space="preserve">3.7 Intellectual Property and Attribution</w:t>
      </w:r>
    </w:p>
    <w:p>
      <w:pPr>
        <w:pStyle w:val="ListBullet"/>
      </w:pPr>
      <w:r>
        <w:rPr/>
        <w:t>Do not enter third-party confidential or copyrighted material into an AI tool in a way that breaks a license, a non-disclosure agreement, or a contract. If you are not sure what an agreement allows, ask your manager or the person who owns that agreement before entering the material.</w:t>
      </w:r>
    </w:p>
    <w:p>
      <w:pPr>
        <w:pStyle w:val="ListBullet"/>
      </w:pPr>
      <w:r>
        <w:rPr/>
        <w:t>AI output can resemble existing works. Before using AI output in a way that could infringe copyright, a trademark, or another right, check it for material that looks copied from someone else, such as another person's text, code, images, or branding. If the output contains material you do not have the right to use, get the owner's permission or replace that material before using the output.</w:t>
      </w:r>
    </w:p>
    <w:p>
      <w:pPr>
        <w:pStyle w:val="ListBullet"/>
      </w:pPr>
      <w:r>
        <w:rPr/>
        <w:t>In the United States, material an AI tool generated on its own carries no copyright: writing a prompt is not enough to create one, though copyright still covers what a person contributed creatively (US Copyright Office, Copyright and Artificial Intelligence, Part 2: Copyrightability, January 2025). That means the organization cannot promise a client copyright in the parts a tool produced by itself. Ownership elsewhere, and licensing of AI output generally, are often unsettled, so follow the organization's guidance and the tool's terms. Where ownership or reuse could later matter, as with client deliverables, published content, or software the organization sells or distributes, record meaningful AI assistance in the work's normal record (the commit message, the document itself, or the ticket).</w:t>
      </w:r>
    </w:p>
    <w:p>
      <w:pPr>
        <w:pStyle w:val="ListBullet"/>
      </w:pPr>
      <w:r>
        <w:t xml:space="preserve">Protect the organization's own intellectual property and confidential information by keeping it out of tools that could store it or use it to train a model (see Section 3.5).</w:t>
      </w:r>
    </w:p>
    <w:p>
      <w:pPr>
        <w:pStyle w:val="Heading2"/>
      </w:pPr>
      <w:r>
        <w:t xml:space="preserve">3.8 Transparency and Disclosure</w:t>
      </w:r>
    </w:p>
    <w:p>
      <w:pPr>
        <w:pStyle w:val="ListBullet"/>
      </w:pPr>
      <w:r>
        <w:rPr/>
        <w:t>Disclose meaningful AI assistance where the content goes to customers or the public and is presented as a person's own work, where the audience would reasonably expect to be told, or where a client, a regulator, or the law requires it to be told whether content was AI-generated. Section 3.11 names disclosure rules already in force in some places.</w:t>
      </w:r>
    </w:p>
    <w:p>
      <w:pPr>
        <w:pStyle w:val="ListBullet"/>
      </w:pPr>
      <w:r>
        <w:t xml:space="preserve">Where AI helped shape a decision about a person, tell whoever makes the final decision what the tool contributed, and tell the affected person where a client, a regulator, or the law requires it (Section 3.11).</w:t>
      </w:r>
    </w:p>
    <w:p>
      <w:pPr>
        <w:pStyle w:val="ListBullet"/>
      </w:pPr>
      <w:r>
        <w:t xml:space="preserve">Follow any client or contractual terms that require disclosing, limiting, or forbidding AI use on their work.</w:t>
      </w:r>
    </w:p>
    <w:p>
      <w:pPr>
        <w:pStyle w:val="Heading2"/>
      </w:pPr>
      <w:r>
        <w:t xml:space="preserve">3.9 Human Oversight and Accountability</w:t>
      </w:r>
    </w:p>
    <w:p>
      <w:pPr>
        <w:pStyle w:val="ListBullet"/>
      </w:pPr>
      <w:r>
        <w:t xml:space="preserve">A named person stays accountable for every decision and work product that an AI tool helped create.</w:t>
      </w:r>
    </w:p>
    <w:p>
      <w:pPr>
        <w:pStyle w:val="ListBullet"/>
      </w:pPr>
      <w:r>
        <w:rPr/>
        <w:t>A consequential use requires human oversight (Section 3.1), exercised before the output is used or the decision takes effect.</w:t>
      </w:r>
    </w:p>
    <w:p>
      <w:pPr>
        <w:pStyle w:val="ListBullet"/>
      </w:pPr>
      <w:r>
        <w:t xml:space="preserve">For a consequential use, record what the AI tool contributed, who reviewed it, and what was decided. Keep that record wherever the decision itself is filed, and keep it for as long as the Data Handling Policy and any applicable law require.</w:t>
      </w:r>
    </w:p>
    <w:p>
      <w:pPr>
        <w:pStyle w:val="ListBullet"/>
      </w:pPr>
      <w:r>
        <w:t xml:space="preserve">Understand a tool's limits before relying on it. If you cannot meaningfully review what it produces, do not use it for that purpose.</w:t>
      </w:r>
    </w:p>
    <w:p>
      <w:pPr>
        <w:pStyle w:val="Heading2"/>
      </w:pPr>
      <w:r>
        <w:t xml:space="preserve">3.10 Security</w:t>
      </w:r>
    </w:p>
    <w:p>
      <w:pPr>
        <w:pStyle w:val="ListBullet"/>
      </w:pPr>
      <w:r>
        <w:rPr/>
        <w:t>Treat AI output as untrusted input. Review AI-generated code and commands, AI-provided links, and instructions an AI surfaces before you run, follow, or act on them. For a tool approved to act on its own, the replacement checks defined in its approval take the place of that review for the actions the approval covers (Sections 3.2 and 3.6). Content, documents, web pages, and emails can carry hidden instructions that an AI tool will follow (prompt injection), so an assistant that reads them acts on the attacker's instructions instead of yours.</w:t>
      </w:r>
    </w:p>
    <w:p>
      <w:pPr>
        <w:pStyle w:val="ListBullet"/>
      </w:pPr>
      <w:r>
        <w:t xml:space="preserve">Install a package an AI tool suggests only from the official package repository or the maker's own distribution point, and check its exact name and publisher first (the Secure Development Policy). AI coding assistants invent plausible package names, and attackers register those names in advance ("slopsquatting"), so the package you find under the suggested name may be the attacker's.</w:t>
      </w:r>
    </w:p>
    <w:p>
      <w:pPr>
        <w:pStyle w:val="ListBullet"/>
      </w:pPr>
      <w:r>
        <w:t xml:space="preserve">Reach AI tools through the organization's approved, authenticated access. That access runs on an organization account, so the Acceptable Use Policy's monitoring notice applies to your use of the tool, and the organization can see your prompts and the tool's answers wherever the tool's administration controls give it that access. Report a suspected compromise, account takeover, or misuse of an AI tool as an incident (Section 7.0).</w:t>
      </w:r>
    </w:p>
    <w:p>
      <w:pPr>
        <w:pStyle w:val="Heading2"/>
      </w:pPr>
      <w:r>
        <w:t xml:space="preserve">3.11 Privacy and Legal Compliance</w:t>
      </w:r>
    </w:p>
    <w:p>
      <w:pPr>
        <w:pStyle w:val="ListBullet"/>
      </w:pPr>
      <w:r>
        <w:rPr/>
        <w:t xml:space="preserve">Anyone using AI must comply with the privacy, data-protection, employment, and sector laws that apply to the organization. These vary by place and activity, and some places regulate AI directly. The organization maps the obligations that apply to it, and takes legal advice where it is not clear which of them do. </w:t>
      </w:r>
      <w:r>
        <w:rPr>
          <w:highlight w:val="yellow"/>
        </w:rPr>
        <w:t xml:space="preserve">[Adapt the rules in this section to those obligations.]</w:t>
      </w:r>
    </w:p>
    <w:p>
      <w:pPr>
        <w:pStyle w:val="ListBullet"/>
      </w:pPr>
      <w:r>
        <w:rPr/>
        <w:t>Use AI to process personal information only in ways covered by the organization's privacy notices and by its legal basis or authorization (the lawful reason) for that processing. Where the law requires a written contract with a provider that processes personal information on the organization's behalf, that contract is in place before the information goes into the tool (Section 9.0, the Vendor Risk Management Policy).</w:t>
      </w:r>
    </w:p>
    <w:p>
      <w:pPr>
        <w:pStyle w:val="ListBullet"/>
      </w:pPr>
      <w:r>
        <w:t xml:space="preserve">Where an AI-assisted decision or document carries legal effect, such as a contract, a regulatory filing, or a decision about someone's employment or benefits, the organization takes legal advice before relying on it.</w:t>
      </w:r>
    </w:p>
    <w:p>
      <w:pPr>
        <w:pStyle w:val="ListBullet"/>
      </w:pPr>
      <w:r>
        <w:rPr/>
        <w:t xml:space="preserve">Some of the rules that regulate AI directly reach an organization that only uses AI, some already in force and some starting on the dates below. The European Union's AI Act reaches an organization established or located in the EU, and one outside it whose AI output is used there.</w:t>
      </w:r>
    </w:p>
    <w:p>
      <w:pPr>
        <w:pStyle w:val="ListBullet"/>
      </w:pPr>
      <w:r>
        <w:t xml:space="preserve">Under the AI Act, the organization must take measures that support AI literacy (enough knowledge to use these tools properly) among its staff and anyone else who operates or uses these tools on its behalf. A duty to build AI literacy has applied since 2 February 2025. The wording above dates from 27 July 2026, when the Act also said the organization need not guarantee any particular level for any person.</w:t>
      </w:r>
    </w:p>
    <w:p>
      <w:pPr>
        <w:pStyle w:val="ListBullet"/>
      </w:pPr>
      <w:r>
        <w:t xml:space="preserve">Since 2 February 2025 the Act has banned inferring emotions from people at work or in education, except for medical or safety reasons, and banned biometric categorization that works out someone's race, political opinions, trade union membership, religious or philosophical beliefs, sex life, or sexual orientation. Since 2 August 2026, where the Act still allows emotion recognition or biometric categorization, the organization tells the people it runs them on.</w:t>
      </w:r>
    </w:p>
    <w:p>
      <w:pPr>
        <w:pStyle w:val="ListBullet"/>
      </w:pPr>
      <w:r>
        <w:t xml:space="preserve">Under the AI Act, since 2 August 2026 the organization must disclose image, audio, or video it generates or manipulates that is a deepfake. Where that content forms part of an evidently artistic, creative, satirical, or fictional work, it discloses only that the work contains generated content, and does so in a way that does not interfere with the work. Where it publishes AI-generated text to inform the public on a matter of public interest, it must say so, unless a person reviewed or edited that text and someone holds editorial responsibility for publishing it.</w:t>
      </w:r>
    </w:p>
    <w:p>
      <w:pPr>
        <w:pStyle w:val="ListBullet"/>
      </w:pPr>
      <w:r>
        <w:rPr/>
        <w:t xml:space="preserve">From 2 December 2026 the Act bans using an AI tool to generate or manipulate intimate images of an identifiable person without their consent, or child sexual abuse material (CSAM). A separate ban on placing such a tool on the market falls on whoever supplies it.</w:t>
      </w:r>
    </w:p>
    <w:p>
      <w:pPr>
        <w:pStyle w:val="ListBullet"/>
      </w:pPr>
      <w:r>
        <w:t xml:space="preserve">The Act's rules for the high-risk uses in its Annex III, among them AI in hiring, start on 2 December 2027. For AI built into products that EU product-safety law already covers, they start on 2 August 2028. An organization that only buys and runs such a tool is a deployer under the Act, and carries duties of its own from those dates.</w:t>
      </w:r>
    </w:p>
    <w:p>
      <w:pPr>
        <w:pStyle w:val="ListBullet"/>
      </w:pPr>
      <w:r>
        <w:t xml:space="preserve">The deployer uses the tool the way the supplier's instructions say, gives oversight to a person with the competence and authority to overrule it, and keeps the logs the tool generates, to the extent it controls them, for at least six months. Where it controls the data it feeds the tool, it makes sure that data is relevant and representative enough for what the tool is meant to do. Where it has reason to think that using the tool as instructed puts people at risk, it stops using the tool, tells whoever supplied it, and tells the national authority. As an employer, it tells the affected workers and their representatives before the tool starts work. Where the tool makes or helps make a decision about a person, it also tells that person the tool is being used on them. A public body, a private organization running a public service, and any organization scoring creditworthiness or pricing life or health insurance also assess the tool's effect on people's rights before the first use (a fundamental rights impact assessment, or FRIA).</w:t>
      </w:r>
    </w:p>
    <w:p>
      <w:pPr>
        <w:pStyle w:val="ListBullet"/>
      </w:pPr>
      <w:r>
        <w:t xml:space="preserve">The EU's General Data Protection Regulation (GDPR) reaches an organization established in the EU, and one outside it that offers goods or services to people in the EU or monitors their behavior there. Since 25 May 2018 its Article 22 has given a person the right not to have a decision made about them by automated processing alone, where that decision has a legal effect on them or affects them in a similarly significant way. Where the organization relies on the Regulation's contract or explicit-consent exceptions, it gives the person a way to obtain human review, to put their point of view, and to contest the decision. Its privacy notice says that automated decision-making is in use, what logic lies behind it, and what it means for the person. Where the organization uses AI to evaluate people's personal characteristics systematically and in detail, and that evaluation feeds a decision with a legal or similarly significant effect on them, the Regulation requires a data protection impact assessment (DPIA) before the processing starts. The Regulation sets no minimum number of people for this.</w:t>
      </w:r>
    </w:p>
    <w:p>
      <w:pPr>
        <w:pStyle w:val="ListBullet"/>
      </w:pPr>
      <w:r>
        <w:rPr/>
        <w:t xml:space="preserve">The United States has no single AI statute. Federal anti-discrimination and consumer-protection law still reaches an employer that uses AI, and since 19 May 2025 the TAKE IT DOWN Act has made publishing intimate images of a real person without their consent a federal crime where the publication was meant to cause harm or did cause it, whether the image is a photograph or one an AI tool produced. The Department of Justice intervened against Colorado's AI law in April 2026, and a Justice Department task force created in January 2026 exists solely to challenge state AI laws, so check the current position on any state rule before relying on it. The AI-specific rules come from states and cities, and each writes its own term for software that makes or helps make a decision about a person: an automated-decision system, automated decision-making technology (ADMT), an automated employment decision tool (AEDT). California bars an employer with five or more employees from using an automated-decision system to discriminate against an applicant or employee in California, and requires it to keep that system's records for four years (since 1 October 2025).</w:t>
      </w:r>
    </w:p>
    <w:p>
      <w:pPr>
        <w:pStyle w:val="ListBullet"/>
      </w:pPr>
      <w:r>
        <w:rPr/>
        <w:t xml:space="preserve">California also regulates ADMT under its consumer privacy rules. Those rules reach a for-profit business that meets any one of three tests: annual revenue above a threshold the state raises for inflation every odd-numbered year, personal information on 100,000 or more consumers or households bought, sold, or shared in a year, or half its revenue from selling or sharing personal information. From 1 January 2027 such a business must tell people before it uses that technology to make a significant decision about them, including an employment decision. It must also let them ask in plain language how it was used on them, and offer either a way to opt out or an appeal to a person who can change the decision. It assesses the risks of that use, completing the first assessments by 31 December 2027 and filing a summary with the state by 1 April 2028.</w:t>
      </w:r>
    </w:p>
    <w:p>
      <w:pPr>
        <w:pStyle w:val="ListBullet"/>
      </w:pPr>
      <w:r>
        <w:rPr/>
        <w:t xml:space="preserve">Illinois has made AI that discriminates in employment a civil rights violation and requires telling employees and applicants when AI is used on them (since 1 January 2026). Texas prohibits developing or deploying AI with the intent to discriminate unlawfully (since 1 January 2026).</w:t>
      </w:r>
    </w:p>
    <w:p>
      <w:pPr>
        <w:pStyle w:val="ListBullet"/>
      </w:pPr>
      <w:r>
        <w:rPr/>
        <w:t xml:space="preserve">Colorado repealed its 2024 AI Act and replaced it with a notice-based law that takes effect on 1 January 2027, by which date the state Attorney General must finish the implementing rules. A deployer gives notice before someone meets the technology, and within 30 days of a consequential decision that goes against a person, explains the decision and what part the technology played and tells that person how to exercise their rights. On request the person can then see and correct inaccurate personal information used in the decision, and ask for review by a person so far as that is commercially reasonable. A federal court has barred enforcement of both the old law and its replacement until 14 days after it rules on a challenge to them, so check where that case stands before relying on the date. From the same date Colorado also regulates anyone who offers a conversational AI service to the public, which reaches an organization running a bought-in chatbot for its customers. The operator tells users they are dealing with AI, estimates their age and protects minors, runs a protocol for users who raise suicide or self-harm, and reports on that protocol to the Attorney General each year.</w:t>
      </w:r>
    </w:p>
    <w:p>
      <w:pPr>
        <w:pStyle w:val="ListBullet"/>
      </w:pPr>
      <w:r>
        <w:rPr/>
        <w:t xml:space="preserve">Connecticut says that using an automated employment decision tool is no defense to a discrimination claim, and requires an employer filing notice of a mass layoff or plant closing (a reduction in force) to say whether the layoffs relate to its use of AI (both since 1 October 2026). The two duties that follow are written for an employer that puts such a tool into use on or after 1 October 2027. Whether they also reach a tool already running then is untested, and the legislature's own bill analysis describes the trigger as using the technology, so plan on the wider reading. Where such a tool's output makes an employment decision or weighs substantially in it, the employer tells the applicant or employee before the decision, naming the tool and the categories and sources of personal information it analyzes. Where the tool deals with an applicant or employee directly, the employer says in plain language that they are dealing with software, unless that would be obvious to a reasonable person. A commission or court hearing such a discrimination claim may weigh evidence of anti-bias testing, including its quality, recency, and scope, so keep the records of the checks Section 3.12 requires.</w:t>
      </w:r>
    </w:p>
    <w:p>
      <w:pPr>
        <w:pStyle w:val="ListBullet"/>
      </w:pPr>
      <w:r>
        <w:rPr/>
        <w:t xml:space="preserve">Since 1 January 2023, enforced from 5 July 2023, an employer using an automated employment decision tool for a job or promotion in New York City must commission an independent bias audit of that tool every year, post a summary of the audit on its website, and tell candidates and employees at least ten business days before it uses the tool. Since 1 January 2020, an employer in Illinois must tell an applicant that AI will analyze their recorded video interview, explain how it works, and get their consent first. Since 1 October 2020, an employer in Maryland must get an applicant's signed waiver before using facial recognition during an interview.</w:t>
      </w:r>
    </w:p>
    <w:p>
      <w:pPr>
        <w:pStyle w:val="ListBullet"/>
      </w:pPr>
      <w:r>
        <w:rPr/>
        <w:t xml:space="preserve">Utah requires a business using generative AI with a consumer to say so when the consumer clearly asks, and to say so prominently at the start of any interaction in a regulated occupation that collects sensitive personal information or gives advice on health, legal, or financial matters (since 1 May 2024, narrowed 7 May 2025, and set to lapse on 1 July 2027).</w:t>
      </w:r>
    </w:p>
    <w:p>
      <w:pPr>
        <w:pStyle w:val="ListBullet"/>
      </w:pPr>
      <w:r>
        <w:rPr/>
        <w:t xml:space="preserve">The rules and dates in this section state the law as it stood on </w:t>
      </w:r>
      <w:r>
        <w:rPr>
          <w:highlight w:val="yellow"/>
        </w:rPr>
        <w:t xml:space="preserve">[6 September 2026: replace this with the date you last checked this section against current law]</w:t>
      </w:r>
      <w:r>
        <w:rPr/>
        <w:t xml:space="preserve">. The European Union, the states, and the cities change them often, so check the current position before relying on this list.</w:t>
      </w:r>
    </w:p>
    <w:p>
      <w:pPr>
        <w:pStyle w:val="Heading2"/>
      </w:pPr>
      <w:r>
        <w:t xml:space="preserve">3.12 Bias, Fairness, and Non-discrimination</w:t>
      </w:r>
    </w:p>
    <w:p>
      <w:pPr>
        <w:pStyle w:val="ListBullet"/>
      </w:pPr>
      <w:r>
        <w:t xml:space="preserve">AI output can carry and magnify bias from the data it was trained on. Where AI output affects people, such as evaluations, selections, or communications, apply human judgment and check for unfair or discriminatory results before acting.</w:t>
      </w:r>
    </w:p>
    <w:p>
      <w:pPr>
        <w:pStyle w:val="ListBullet"/>
      </w:pPr>
      <w:r>
        <w:rPr/>
        <w:t>Several tools can reach the same wrong answer, because they are trained on similar data, so agreement between them is not verification. A decision about a person still needs the human oversight Sections 3.4 and 3.9 require. Watch for output that is one-sided or that pushes everyone toward the same narrow answer.</w:t>
      </w:r>
    </w:p>
    <w:p>
      <w:pPr>
        <w:pStyle w:val="Heading2"/>
      </w:pPr>
      <w:r>
        <w:t xml:space="preserve">3.13 Training and Awareness</w:t>
      </w:r>
    </w:p>
    <w:p>
      <w:pPr>
        <w:pStyle w:val="ListBullet"/>
      </w:pPr>
      <w:r>
        <w:rPr/>
        <w:t xml:space="preserve">Before using AI tools for the organization's work, everyone completes the organization's AI-use training and acknowledges this policy. Until that training is available, reading and acknowledging this policy is enough. Anyone who has been using AI tools on that basis completes the training within </w:t>
      </w:r>
      <w:r>
        <w:rPr>
          <w:highlight w:val="yellow"/>
        </w:rPr>
        <w:t>[30 days]</w:t>
      </w:r>
      <w:r>
        <w:rPr/>
        <w:t xml:space="preserve"> of it becoming available. Everyone repeats the training at least annually, and sooner when the Information Security Lead updates it to cover new tools, new risks, or changed rules. Training covers this policy's rules and how to recognize AI risks such as confabulation, data leakage, bias, and prompt injection.</w:t>
      </w:r>
    </w:p>
    <w:p>
      <w:pPr>
        <w:pStyle w:val="Heading1"/>
      </w:pPr>
      <w:r>
        <w:t xml:space="preserve">4.0 Roles and Responsibilities</w:t>
      </w:r>
    </w:p>
    <w:p>
      <w:pPr>
        <w:pStyle w:val="ListBullet"/>
      </w:pPr>
      <w:r>
        <w:t xml:space="preserve">The Information Security Lead owns this policy, keeps it current, answers questions about what it requires, and provides the AI-use training Section 3.13 requires within </w:t>
      </w:r>
      <w:r>
        <w:rPr>
          <w:highlight w:val="yellow"/>
        </w:rPr>
        <w:t xml:space="preserve">[90 days]</w:t>
      </w:r>
      <w:r>
        <w:t xml:space="preserve"> of the effective date. The organization may name a separate AI governance owner or lead for this policy; where it does, that owner carries the responsibilities this policy gives the Information Security Lead.</w:t>
      </w:r>
    </w:p>
    <w:p>
      <w:pPr>
        <w:pStyle w:val="ListBullet"/>
      </w:pPr>
      <w:r>
        <w:t xml:space="preserve">The Information Security Lead approves, or delegates approval of, the AI tools and the uses this policy calls approved, and publishes the list of approved AI tools within </w:t>
      </w:r>
      <w:r>
        <w:rPr>
          <w:highlight w:val="yellow"/>
        </w:rPr>
        <w:t xml:space="preserve">[90 days]</w:t>
      </w:r>
      <w:r>
        <w:t xml:space="preserve"> of the effective date (keep this window matched to the Acceptable Use Policy), where everyone can find it </w:t>
      </w:r>
      <w:r>
        <w:rPr>
          <w:highlight w:val="yellow"/>
        </w:rPr>
        <w:t xml:space="preserve">[name the place, for example the intranet page or shared folder where the list is kept]</w:t>
      </w:r>
      <w:r>
        <w:t xml:space="preserve">. For each approval the list records the data sensitivity, the uses it covers, which consequential uses need prior approval, what the tool may reach and do, the replacement checks any tool approved to act on its own must run, how that tool's actions are recorded, who can stop it, and the person accountable for that tool (Section 3.2). The AI entries may sit in the Acceptable Use Policy's list of approved tools and services, where that list records what this section requires.</w:t>
      </w:r>
    </w:p>
    <w:p>
      <w:pPr>
        <w:pStyle w:val="ListBullet"/>
      </w:pPr>
      <w:r>
        <w:t xml:space="preserve">Before approving a tool, the Information Security Lead reads what the provider's terms allow it to do with prompts and output, and switches off training on the organization's data where the provider offers that setting. The approval records whether it is off. The Information Security Lead reviews the list at least </w:t>
      </w:r>
      <w:r>
        <w:rPr>
          <w:highlight w:val="yellow"/>
        </w:rPr>
        <w:t xml:space="preserve">[annually]</w:t>
      </w:r>
      <w:r>
        <w:t xml:space="preserve"> (keep this matched to the Acceptable Use Policy). Each review checks that every approval still matches what the tool does and what its terms allow.</w:t>
      </w:r>
    </w:p>
    <w:p>
      <w:pPr>
        <w:pStyle w:val="ListBullet"/>
      </w:pPr>
      <w:r>
        <w:t xml:space="preserve">Until the list is published, AI tools the organization already provides (on its own accounts) count as approved for everyday information. A tool already in use when this policy takes effect may stay in use for everyday information while it is on the review list, declared to the Information Security Lead within </w:t>
      </w:r>
      <w:r>
        <w:rPr>
          <w:highlight w:val="yellow"/>
        </w:rPr>
        <w:t xml:space="preserve">[30 days]</w:t>
      </w:r>
      <w:r>
        <w:t xml:space="preserve"> of the effective date. Section 3.5 still applies: nothing sensitive goes into it, and no organization information goes into it through a personal account. The Information Security Lead decides on each declared tool within </w:t>
      </w:r>
      <w:r>
        <w:rPr>
          <w:highlight w:val="yellow"/>
        </w:rPr>
        <w:t xml:space="preserve">[60 days]</w:t>
      </w:r>
      <w:r>
        <w:t xml:space="preserve"> of the declaration. A tool still under review when the list is published goes on the list marked under review, and may be used for everyday information until the decision. A tool not declared within the window is unapproved, and using it is shadow AI (Section 3.2). Before the list is published, the Information Security Lead may approve a named tool for a stated classification in writing, and that approval goes onto the list when it is published. Until the list is published, a consequential use (Section 3.1) needs the Information Security Lead's approval in writing first.</w:t>
      </w:r>
    </w:p>
    <w:p>
      <w:pPr>
        <w:pStyle w:val="ListBullet"/>
      </w:pPr>
      <w:r>
        <w:t xml:space="preserve">The Information Security Lead maps the rules in Section 3.11 that apply to the organization, records which ones do, and reviews that record at least </w:t>
      </w:r>
      <w:r>
        <w:rPr>
          <w:highlight w:val="yellow"/>
        </w:rPr>
        <w:t xml:space="preserve">[annually]</w:t>
      </w:r>
      <w:r>
        <w:t xml:space="preserve">, taking legal advice where it is unclear. Where the organization is a deployer under the EU AI Act, the Information Security Lead also names who gives each notice that section requires, who keeps the logs, and who assesses the tool's effect on people's rights.</w:t>
      </w:r>
    </w:p>
    <w:p>
      <w:pPr>
        <w:pStyle w:val="ListBullet"/>
      </w:pPr>
      <w:r>
        <w:t xml:space="preserve">Executive Management (the organization's senior leadership, as the Information Security Policy defines it) holds overall accountability for the organization's responsible use of AI and sets the risk tolerance behind the permitted and prohibited uses (Sections 3.3 and 3.4).</w:t>
      </w:r>
    </w:p>
    <w:p>
      <w:pPr>
        <w:pStyle w:val="ListBullet"/>
      </w:pPr>
      <w:r>
        <w:rPr/>
        <w:t>IT or security operations (an internal team or a qualified service provider; in a small organization the Information Security Lead performs both) carry out the technical work behind this policy (vetting tools, setting up approved access, applying controls, and watching for unapproved AI use) under the Information Security Lead's direction.</w:t>
      </w:r>
    </w:p>
    <w:p>
      <w:pPr>
        <w:pStyle w:val="ListBullet"/>
      </w:pPr>
      <w:r>
        <w:t xml:space="preserve">Human Resources (where the organization has none, a named manager or the Information Security Lead) collects and keeps policy acknowledgments and tracks required training, consistent with the Information Security Policy.</w:t>
      </w:r>
    </w:p>
    <w:p>
      <w:pPr>
        <w:pStyle w:val="ListBullet"/>
      </w:pPr>
      <w:r>
        <w:t xml:space="preserve">Managers make sure their teams know and follow this policy, and work with Human Resources when it is violated.</w:t>
      </w:r>
    </w:p>
    <w:p>
      <w:pPr>
        <w:pStyle w:val="ListBullet"/>
      </w:pPr>
      <w:r>
        <w:t xml:space="preserve">Everyone covered by this policy must follow it, complete required AI-use training, and verify the output they use. Ask the Information Security Lead before using any AI tool for sensitive information, and before adopting anything else. Everyone must also acknowledge the policy when it first applies to them, annually thereafter, and when the Information Security Lead determines it has changed significantly (see Appendix 1).</w:t>
      </w:r>
    </w:p>
    <w:p>
      <w:pPr>
        <w:pStyle w:val="Heading1"/>
      </w:pPr>
      <w:r>
        <w:t xml:space="preserve">5.0 Policy Review and Updates</w:t>
      </w:r>
    </w:p>
    <w:p>
      <w:r>
        <w:t xml:space="preserve">This policy shall be reviewed at least annually, and sooner when the business, the AI tools in use, their capabilities, the applicable regulations, or the threat environment change significantly. The Information Security Lead starts the review, and Executive Management approves changes before they take effect. Both steps follow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AI Incidents and Concerns</w:t>
      </w:r>
    </w:p>
    <w:p>
      <w:r>
        <w:rPr/>
        <w:t>Report suspected AI incidents, misuse, and policy violations promptly. An AI incident includes:</w:t>
      </w:r>
    </w:p>
    <w:p>
      <w:pPr>
        <w:pStyle w:val="ListBullet"/>
      </w:pPr>
      <w:r>
        <w:t xml:space="preserve">Organization data entered into an unapproved tool, into a tool not approved for that information's classification, or into a personal account.</w:t>
      </w:r>
    </w:p>
    <w:p>
      <w:pPr>
        <w:pStyle w:val="ListBullet"/>
      </w:pPr>
      <w:r>
        <w:t xml:space="preserve">AI output that caused harm, or nearly did, after someone relied on it.</w:t>
      </w:r>
    </w:p>
    <w:p>
      <w:pPr>
        <w:pStyle w:val="ListBullet"/>
      </w:pPr>
      <w:r>
        <w:t xml:space="preserve">A shadow-AI tool in use.</w:t>
      </w:r>
    </w:p>
    <w:p>
      <w:pPr>
        <w:pStyle w:val="ListBullet"/>
      </w:pPr>
      <w:r>
        <w:t xml:space="preserve">A suspected compromise or manipulation of an AI tool, such as prompt injection.</w:t>
      </w:r>
    </w:p>
    <w:p>
      <w:r>
        <w:t xml:space="preserve">Use the incident reporting contacts kept in the Information Security Policy (its Appendix 1). A report to any manager counts; the manager passes it to those contacts. A concern that involves the Information Security Lead, or anyone named in those contacts other than Executive Management, goes instead to Executive Management. A concern that involves Executive Management goes to the Board of Directors or the owners. A manager who receives either kind of report passes it on. </w:t>
      </w:r>
      <w:r>
        <w:rPr>
          <w:highlight w:val="yellow"/>
        </w:rPr>
        <w:t xml:space="preserve">[Where there is no Board and no separate owner, name here the outside contact the Information Security Policy records for these reports.]</w:t>
      </w:r>
      <w:r>
        <w:t xml:space="preserve"> Failing to report an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 and on the people affected,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Acceptable Use Policy: the general rules for tools, data, and online services that this policy builds on.</w:t>
      </w:r>
    </w:p>
    <w:p>
      <w:pPr>
        <w:pStyle w:val="ListBullet"/>
      </w:pPr>
      <w:r>
        <w:t xml:space="preserve">The Data Handling Policy: classification, retention, and disposal of the data used with AI tools and the output they produce.</w:t>
      </w:r>
    </w:p>
    <w:p>
      <w:pPr>
        <w:pStyle w:val="ListBullet"/>
      </w:pPr>
      <w:r>
        <w:t xml:space="preserve">The Access Control Policy: the accounts, authentication, and access rules for AI tools and the systems they reach.</w:t>
      </w:r>
    </w:p>
    <w:p>
      <w:pPr>
        <w:pStyle w:val="ListBullet"/>
      </w:pPr>
      <w:r>
        <w:t xml:space="preserve">The Remote Work &amp; Mobile Device Policy: the terms on which a personal or contractor-owned device may be used for the organization's work, including the AI tools on it.</w:t>
      </w:r>
    </w:p>
    <w:p>
      <w:pPr>
        <w:pStyle w:val="ListBullet"/>
      </w:pPr>
      <w:r>
        <w:t xml:space="preserve">The Incident Response Policy: how the AI incidents reported under Section 7.0 are handled.</w:t>
      </w:r>
    </w:p>
    <w:p>
      <w:pPr>
        <w:pStyle w:val="ListBullet"/>
      </w:pPr>
      <w:r>
        <w:t xml:space="preserve">The Logging and Monitoring Policy: the sign-in and activity records that show which approved AI tools are in use, and that support the reports in Section 7.0.</w:t>
      </w:r>
    </w:p>
    <w:p>
      <w:pPr>
        <w:pStyle w:val="ListBullet"/>
      </w:pPr>
      <w:r>
        <w:t>The Vendor Risk Management Policy: assessing and managing the third parties behind AI tools, and the exit when one is dropped.</w:t>
      </w:r>
    </w:p>
    <w:p>
      <w:pPr>
        <w:pStyle w:val="ListBullet"/>
      </w:pPr>
      <w:r>
        <w:t xml:space="preserve">The Secure Development Policy: the rules for any software work, from a single script upward, including the components an AI coding assistant suggests, and the fuller AI risk process for anyone who builds or integrates AI systems.</w:t>
      </w:r>
    </w:p>
    <w:p>
      <w:r>
        <w:t xml:space="preserve">Where any of these does not exist yet, treat it as a roadmap item; the rules in this policy apply on their own regardless.</w:t>
      </w:r>
    </w:p>
    <w:p>
      <w:r>
        <w:t xml:space="preserve">Between this policy and the Acceptable Use Policy, this policy's more specific rules govern the use of AI tools. The one exception is consent to record a meeting: the Acceptable Use Policy requires everyone's consent wherever the meeting happens, and this policy does not relax it (Section 3.2). Where the Information Security Policy says nothing on a remaining contradiction, the Information Security Lead decides which rule governs.</w:t>
      </w:r>
    </w:p>
    <w:p>
      <w:r>
        <w:t xml:space="preserve">This policy aligns with the NIST Artificial Intelligence Risk Management Framework (AI RMF 1.0, January 2023) and its Generative Artificial Intelligence Profile (NIST AI 600-1, July 2024), primarily their Govern function. Six of the framework's seven trustworthy-AI characteristics shape what this policy asks for. They are output that is valid and reliable (Section 3.6), use that is safe (Section 3.4) and secure and resilient (Section 3.10), decisions that are accountable and transparent (Sections 3.8 and 3.9), processing that is privacy enhanced (Section 3.11), and results that are fair with harmful bias managed (Section 3.12). The seventh, explainable and interpretable, is managed mainly by describing how an AI system works and why it produced a given result, which falls to whoever builds or supplies the tool. Section 3.9 carries what this policy asks of the organization using one: understand a tool's limits before relying on it.</w:t>
      </w:r>
    </w:p>
    <w:p>
      <w:r>
        <w:t xml:space="preserve">The alignment is for structure and good practice; the NIST AI RMF is voluntary guidance, and there is nothing to certify against. An organization that wants a certifiable AI management system can pursue ISO/IEC 42001:2023, the AI counterpart to ISO/IEC 27001, as a separate route; the practices in this policy overlap with what that standard asks for. Appendix 2 maps the aligned sections to the framework references they support. At a policy level, these rules put into practice these ISO/IEC 27001:2022 Annex A controls: 5.10 (acceptable use of information and other associated assets), 5.14 (information transfer), 5.23 (information security for use of cloud services), 5.31 (legal, statutory, regulatory and contractual requirements), 5.32 (intellectual property rights), 5.34 (privacy and protection of personal identifiable information), 6.3 (information security awareness, education and training), and 6.8 (information security event reporting). They support the Govern and Protect functions of the NIST Cybersecurity Framework (CSF) 2.0.</w:t>
      </w:r>
    </w:p>
    <w:p>
      <w:pPr>
        <w:pStyle w:val="Heading1"/>
      </w:pPr>
      <w:r>
        <w:t xml:space="preserve">Appendix 1: Acknowledgment</w:t>
      </w:r>
    </w:p>
    <w:p>
      <w:r>
        <w:t xml:space="preserve">Each person covered by this policy must acknowledge it before using AI tools for the organization's work. New joiners acknowledge it at onboarding, since anyone may reach for an AI tool; people already working acknowledge it when the policy takes effect. Each person must acknowledge it again annually, and when the Information Security Lead determines it has changed significantly. Human Resources keeps completed acknowledgments with the records of each person's employment or engagement, as evidence under Section 3.1 of the Information Security Policy. The policy applies to everyone in Section 2.0 from their first use of an AI tool for the organization's work, whether or not an acknowledgment is on file.</w:t>
      </w:r>
    </w:p>
    <w:p>
      <w:pPr>
        <w:keepNext/>
      </w:pPr>
      <w:r>
        <w:t xml:space="preserve">I have read and understood the AI Acceptable Use Policy, and I agree to follow it.</w:t>
      </w:r>
    </w:p>
    <w:tbl>
      <w:tblPr>
        <w:tblStyle w:val="TableGrid"/>
        <w:tblW w:type="auto" w:w="0"/>
        <w:tblLook w:firstColumn="1" w:firstRow="1" w:lastColumn="0" w:lastRow="0" w:noHBand="0" w:noVBand="1" w:val="04A0"/>
      </w:tblPr>
      <w:tblGrid>
        <w:gridCol w:w="2700"/>
        <w:gridCol w:w="2700"/>
        <w:gridCol w:w="2700"/>
        <w:gridCol w:w="2700"/>
      </w:tblGrid>
      <w:tr>
        <w:trPr>
          <w:tblHeader/>
        </w:trPr>
        <w:tc>
          <w:tcPr>
            <w:tcW w:type="dxa" w:w="2700"/>
          </w:tcPr>
          <w:p>
            <w:pPr>
              <w:keepNext/>
            </w:pPr>
            <w:r>
              <w:rPr>
                <w:b/>
              </w:rPr>
              <w:t xml:space="preserve">Name (printed)</w:t>
            </w:r>
          </w:p>
        </w:tc>
        <w:tc>
          <w:tcPr>
            <w:tcW w:type="dxa" w:w="2700"/>
          </w:tcPr>
          <w:p>
            <w:pPr>
              <w:keepNext/>
            </w:pPr>
            <w:r>
              <w:rPr>
                <w:b/>
              </w:rPr>
              <w:t xml:space="preserve">Signature</w:t>
            </w:r>
          </w:p>
        </w:tc>
        <w:tc>
          <w:tcPr>
            <w:tcW w:type="dxa" w:w="2700"/>
          </w:tcPr>
          <w:p>
            <w:pPr>
              <w:keepNext/>
            </w:pPr>
            <w:r>
              <w:rPr>
                <w:b/>
              </w:rPr>
              <w:t xml:space="preserve">Date</w:t>
            </w:r>
          </w:p>
        </w:tc>
        <w:tc>
          <w:tcPr>
            <w:tcW w:type="dxa" w:w="2700"/>
          </w:tcPr>
          <w:p>
            <w:pPr>
              <w:keepNext/>
            </w:pPr>
            <w:r>
              <w:rPr>
                <w:b/>
              </w:rPr>
              <w:t xml:space="preserve">Policy version</w:t>
            </w:r>
          </w:p>
        </w:tc>
      </w:tr>
      <w:tr>
        <w:trPr>
          <w:trHeight w:hRule="atLeast" w:val="576"/>
        </w:trPr>
        <w:tc>
          <w:tcPr>
            <w:tcW w:type="dxa" w:w="2700"/>
          </w:tcPr>
          <w:p/>
        </w:tc>
        <w:tc>
          <w:tcPr>
            <w:tcW w:type="dxa" w:w="2700"/>
          </w:tcPr>
          <w:p/>
        </w:tc>
        <w:tc>
          <w:tcPr>
            <w:tcW w:type="dxa" w:w="2700"/>
          </w:tcPr>
          <w:p/>
        </w:tc>
        <w:tc>
          <w:tcPr>
            <w:tcW w:type="dxa" w:w="2700"/>
          </w:tcPr>
          <w:p/>
        </w:tc>
      </w:tr>
    </w:tbl>
    <w:p>
      <w:pPr>
        <w:pStyle w:val="Heading1"/>
        <w:pageBreakBefore/>
      </w:pPr>
      <w:r>
        <w:t xml:space="preserve">Appendix 2: Alignment with the NIST AI Risk Management Framework</w:t>
      </w:r>
    </w:p>
    <w:p>
      <w:r>
        <w:t xml:space="preserve">This table cross-references the policy to the NIST AI RMF (AI RMF 1.0) Govern function and to the Suggested Actions of its Generative AI Profile (NIST AI 600-1). The table records where the policy and the framework line up; it is not an audit result. Govern subcategories are shown in the framework's form (for example, GOVERN 1.1); Generative AI Profile actions use their action identifiers (for example, GV-3.2-003). Where no suggested action fits everyday use, the third column instead names the profile risk the section addresses, or (none). The table maps only the sections that set requirements. Of those, 3.0, 3.1, 6.0 and 8.0 carry no framework reference of their own and are left out; 1.0, 2.0 and 9.0 name frameworks but set no requirements, so they are left out too.</w:t>
      </w:r>
    </w:p>
    <w:p>
      <w:r>
        <w:t xml:space="preserve">One AI 600-1 risk, "Environmental Impacts", comes from the energy a model uses, both while it is trained and each time it answers a prompt. An organization that only uses AI affects that through the tools it chooses rather than through rules for its staff, so this policy sets no duty against it and the table below leaves it out.</w:t>
      </w:r>
    </w:p>
    <w:p>
      <w:r>
        <w:t xml:space="preserve">"Value Chain and Component Integration" reaches an organization that only uses AI through the tools it adopts; Sections 3.2 and 9.0 answer it by approving tools and assessing their vendors. Section 3.4's prohibitions answer three more profile risks: CBRN (chemical, biological, radiological, and nuclear) Information or Capabilities, Dangerous, Violent, or Hateful Content, and Obscene, Degrading, and/or Abusive Content. Three more, Data Privacy, Human-AI Configuration, and Intellectual Property, are carried by the suggested actions the table cites. The table's third column names the last four.</w:t>
      </w:r>
    </w:p>
    <w:tbl>
      <w:tblPr>
        <w:tblStyle w:val="TableGrid"/>
        <w:tblW w:type="auto" w:w="0"/>
        <w:tblLook w:firstColumn="1" w:firstRow="1" w:lastColumn="0" w:lastRow="0" w:noHBand="0" w:noVBand="1" w:val="04A0"/>
      </w:tblPr>
      <w:tblGrid>
        <w:gridCol w:w="4860"/>
        <w:gridCol w:w="2880"/>
        <w:gridCol w:w="3060"/>
      </w:tblGrid>
      <w:tr>
        <w:trPr>
          <w:cantSplit/>
          <w:tblHeader/>
        </w:trPr>
        <w:tc>
          <w:tcPr>
            <w:tcW w:type="dxa" w:w="4860"/>
          </w:tcPr>
          <w:p>
            <w:r>
              <w:rPr>
                <w:b/>
              </w:rPr>
              <w:t xml:space="preserve">Policy section</w:t>
            </w:r>
          </w:p>
        </w:tc>
        <w:tc>
          <w:tcPr>
            <w:tcW w:type="dxa" w:w="2880"/>
          </w:tcPr>
          <w:p>
            <w:r>
              <w:rPr>
                <w:b/>
              </w:rPr>
              <w:t xml:space="preserve">NIST AI RMF Govern</w:t>
            </w:r>
          </w:p>
        </w:tc>
        <w:tc>
          <w:tcPr>
            <w:tcW w:type="dxa" w:w="3060"/>
          </w:tcPr>
          <w:p>
            <w:r>
              <w:rPr>
                <w:b/>
              </w:rPr>
              <w:t xml:space="preserve">Generative AI Profile</w:t>
              <w:br/>
              <w:t xml:space="preserve">(AI 600-1)</w:t>
            </w:r>
          </w:p>
        </w:tc>
      </w:tr>
      <w:tr>
        <w:trPr>
          <w:cantSplit/>
        </w:trPr>
        <w:tc>
          <w:tcPr>
            <w:tcW w:type="dxa" w:w="4860"/>
          </w:tcPr>
          <w:p>
            <w:r>
              <w:t xml:space="preserve">3.2 Approved Tools and Shadow AI</w:t>
            </w:r>
          </w:p>
        </w:tc>
        <w:tc>
          <w:tcPr>
            <w:tcW w:type="dxa" w:w="2880"/>
          </w:tcPr>
          <w:p>
            <w:r>
              <w:t xml:space="preserve">GOVERN 1.6; GOVERN 1.7; GOVERN 6.1; GOVERN 6.2</w:t>
            </w:r>
          </w:p>
        </w:tc>
        <w:tc>
          <w:tcPr>
            <w:tcW w:type="dxa" w:w="3060"/>
          </w:tcPr>
          <w:p>
            <w:r>
              <w:t xml:space="preserve">GV-1.6-001; GV-1.6-002; GV-1.7-001; GV-1.7-002; GV-3.2-003; GV-6.2-004</w:t>
            </w:r>
          </w:p>
        </w:tc>
      </w:tr>
      <w:tr>
        <w:trPr>
          <w:cantSplit/>
        </w:trPr>
        <w:tc>
          <w:tcPr>
            <w:tcW w:type="dxa" w:w="4860"/>
          </w:tcPr>
          <w:p>
            <w:r>
              <w:t xml:space="preserve">3.3 Permitted Uses</w:t>
            </w:r>
          </w:p>
        </w:tc>
        <w:tc>
          <w:tcPr>
            <w:tcW w:type="dxa" w:w="2880"/>
          </w:tcPr>
          <w:p>
            <w:r>
              <w:t xml:space="preserve">GOVERN 1.3</w:t>
            </w:r>
          </w:p>
        </w:tc>
        <w:tc>
          <w:tcPr>
            <w:tcW w:type="dxa" w:w="3060"/>
          </w:tcPr>
          <w:p>
            <w:r>
              <w:t xml:space="preserve">GV-3.2-003</w:t>
            </w:r>
          </w:p>
        </w:tc>
      </w:tr>
      <w:tr>
        <w:trPr>
          <w:cantSplit/>
        </w:trPr>
        <w:tc>
          <w:tcPr>
            <w:tcW w:type="dxa" w:w="4860"/>
          </w:tcPr>
          <w:p>
            <w:r>
              <w:t xml:space="preserve">3.4 Prohibited Uses</w:t>
            </w:r>
          </w:p>
        </w:tc>
        <w:tc>
          <w:tcPr>
            <w:tcW w:type="dxa" w:w="2880"/>
          </w:tcPr>
          <w:p>
            <w:r>
              <w:t xml:space="preserve">GOVERN 1.1; GOVERN 1.3</w:t>
            </w:r>
          </w:p>
        </w:tc>
        <w:tc>
          <w:tcPr>
            <w:tcW w:type="dxa" w:w="3060"/>
          </w:tcPr>
          <w:p>
            <w:r>
              <w:t xml:space="preserve">GV-3.2-003</w:t>
            </w:r>
          </w:p>
        </w:tc>
      </w:tr>
      <w:tr>
        <w:trPr>
          <w:cantSplit/>
        </w:trPr>
        <w:tc>
          <w:tcPr>
            <w:tcW w:type="dxa" w:w="4860"/>
          </w:tcPr>
          <w:p>
            <w:r>
              <w:t xml:space="preserve">3.5 Data Handling for AI Inputs</w:t>
            </w:r>
          </w:p>
        </w:tc>
        <w:tc>
          <w:tcPr>
            <w:tcW w:type="dxa" w:w="2880"/>
          </w:tcPr>
          <w:p>
            <w:r>
              <w:t xml:space="preserve">GOVERN 1.1</w:t>
            </w:r>
          </w:p>
        </w:tc>
        <w:tc>
          <w:tcPr>
            <w:tcW w:type="dxa" w:w="3060"/>
          </w:tcPr>
          <w:p>
            <w:r>
              <w:t xml:space="preserve">GV-1.1-001</w:t>
            </w:r>
          </w:p>
        </w:tc>
      </w:tr>
      <w:tr>
        <w:trPr>
          <w:cantSplit/>
        </w:trPr>
        <w:tc>
          <w:tcPr>
            <w:tcW w:type="dxa" w:w="4860"/>
          </w:tcPr>
          <w:p>
            <w:r>
              <w:t xml:space="preserve">3.6 Reviewing and Verifying Output</w:t>
            </w:r>
          </w:p>
        </w:tc>
        <w:tc>
          <w:tcPr>
            <w:tcW w:type="dxa" w:w="2880"/>
          </w:tcPr>
          <w:p>
            <w:r>
              <w:t xml:space="preserve">GOVERN 3.2</w:t>
            </w:r>
          </w:p>
        </w:tc>
        <w:tc>
          <w:tcPr>
            <w:tcW w:type="dxa" w:w="3060"/>
          </w:tcPr>
          <w:p>
            <w:r>
              <w:t xml:space="preserve">(Confabulation risk)</w:t>
            </w:r>
          </w:p>
        </w:tc>
      </w:tr>
      <w:tr>
        <w:trPr>
          <w:cantSplit/>
        </w:trPr>
        <w:tc>
          <w:tcPr>
            <w:tcW w:type="dxa" w:w="4860"/>
          </w:tcPr>
          <w:p>
            <w:r>
              <w:t xml:space="preserve">3.7 Intellectual Property and Attribution</w:t>
            </w:r>
          </w:p>
        </w:tc>
        <w:tc>
          <w:tcPr>
            <w:tcW w:type="dxa" w:w="2880"/>
          </w:tcPr>
          <w:p>
            <w:r>
              <w:t xml:space="preserve">GOVERN 6.1</w:t>
            </w:r>
          </w:p>
        </w:tc>
        <w:tc>
          <w:tcPr>
            <w:tcW w:type="dxa" w:w="3060"/>
          </w:tcPr>
          <w:p>
            <w:r>
              <w:t xml:space="preserve">GV-1.1-001; GV-6.1-001</w:t>
            </w:r>
          </w:p>
        </w:tc>
      </w:tr>
      <w:tr>
        <w:trPr>
          <w:cantSplit/>
        </w:trPr>
        <w:tc>
          <w:tcPr>
            <w:tcW w:type="dxa" w:w="4860"/>
          </w:tcPr>
          <w:p>
            <w:r>
              <w:t xml:space="preserve">3.8 Transparency and Disclosure</w:t>
            </w:r>
          </w:p>
        </w:tc>
        <w:tc>
          <w:tcPr>
            <w:tcW w:type="dxa" w:w="2880"/>
          </w:tcPr>
          <w:p>
            <w:r>
              <w:t xml:space="preserve">GOVERN 1.2; GOVERN 4.2</w:t>
            </w:r>
          </w:p>
        </w:tc>
        <w:tc>
          <w:tcPr>
            <w:tcW w:type="dxa" w:w="3060"/>
          </w:tcPr>
          <w:p>
            <w:r>
              <w:t xml:space="preserve">(Information Integrity risk)</w:t>
            </w:r>
          </w:p>
        </w:tc>
      </w:tr>
      <w:tr>
        <w:trPr>
          <w:cantSplit/>
        </w:trPr>
        <w:tc>
          <w:tcPr>
            <w:tcW w:type="dxa" w:w="4860"/>
          </w:tcPr>
          <w:p>
            <w:r>
              <w:t xml:space="preserve">3.9 Human Oversight and Accountability</w:t>
            </w:r>
          </w:p>
        </w:tc>
        <w:tc>
          <w:tcPr>
            <w:tcW w:type="dxa" w:w="2880"/>
          </w:tcPr>
          <w:p>
            <w:r>
              <w:t xml:space="preserve">GOVERN 2.1; GOVERN 3.2</w:t>
            </w:r>
          </w:p>
        </w:tc>
        <w:tc>
          <w:tcPr>
            <w:tcW w:type="dxa" w:w="3060"/>
          </w:tcPr>
          <w:p>
            <w:r>
              <w:t xml:space="preserve">GV-3.2-003</w:t>
            </w:r>
          </w:p>
        </w:tc>
      </w:tr>
      <w:tr>
        <w:trPr>
          <w:cantSplit/>
        </w:trPr>
        <w:tc>
          <w:tcPr>
            <w:tcW w:type="dxa" w:w="4860"/>
          </w:tcPr>
          <w:p>
            <w:r>
              <w:t xml:space="preserve">3.10 Security</w:t>
            </w:r>
          </w:p>
        </w:tc>
        <w:tc>
          <w:tcPr>
            <w:tcW w:type="dxa" w:w="2880"/>
          </w:tcPr>
          <w:p>
            <w:r>
              <w:t xml:space="preserve">GOVERN 1.2</w:t>
            </w:r>
          </w:p>
        </w:tc>
        <w:tc>
          <w:tcPr>
            <w:tcW w:type="dxa" w:w="3060"/>
          </w:tcPr>
          <w:p>
            <w:r>
              <w:t xml:space="preserve">(Information Security risk)</w:t>
            </w:r>
          </w:p>
        </w:tc>
      </w:tr>
      <w:tr>
        <w:trPr>
          <w:cantSplit/>
        </w:trPr>
        <w:tc>
          <w:tcPr>
            <w:tcW w:type="dxa" w:w="4860"/>
          </w:tcPr>
          <w:p>
            <w:r>
              <w:t xml:space="preserve">3.11 Privacy and Legal Compliance</w:t>
            </w:r>
          </w:p>
        </w:tc>
        <w:tc>
          <w:tcPr>
            <w:tcW w:type="dxa" w:w="2880"/>
          </w:tcPr>
          <w:p>
            <w:r>
              <w:t xml:space="preserve">GOVERN 1.1</w:t>
            </w:r>
          </w:p>
        </w:tc>
        <w:tc>
          <w:tcPr>
            <w:tcW w:type="dxa" w:w="3060"/>
          </w:tcPr>
          <w:p>
            <w:r>
              <w:t xml:space="preserve">GV-1.1-001</w:t>
            </w:r>
          </w:p>
        </w:tc>
      </w:tr>
      <w:tr>
        <w:trPr>
          <w:cantSplit/>
        </w:trPr>
        <w:tc>
          <w:tcPr>
            <w:tcW w:type="dxa" w:w="4860"/>
          </w:tcPr>
          <w:p>
            <w:r>
              <w:t xml:space="preserve">3.12 Bias, Fairness, and Non-discrimination</w:t>
            </w:r>
          </w:p>
        </w:tc>
        <w:tc>
          <w:tcPr>
            <w:tcW w:type="dxa" w:w="2880"/>
          </w:tcPr>
          <w:p>
            <w:r>
              <w:t xml:space="preserve">GOVERN 4.1</w:t>
            </w:r>
          </w:p>
        </w:tc>
        <w:tc>
          <w:tcPr>
            <w:tcW w:type="dxa" w:w="3060"/>
          </w:tcPr>
          <w:p>
            <w:r>
              <w:t xml:space="preserve">(Harmful Bias and Homogenization risk)</w:t>
            </w:r>
          </w:p>
        </w:tc>
      </w:tr>
      <w:tr>
        <w:trPr>
          <w:cantSplit/>
        </w:trPr>
        <w:tc>
          <w:tcPr>
            <w:tcW w:type="dxa" w:w="4860"/>
          </w:tcPr>
          <w:p>
            <w:r>
              <w:t xml:space="preserve">3.13 Training and Awareness</w:t>
            </w:r>
          </w:p>
        </w:tc>
        <w:tc>
          <w:tcPr>
            <w:tcW w:type="dxa" w:w="2880"/>
          </w:tcPr>
          <w:p>
            <w:r>
              <w:t xml:space="preserve">GOVERN 2.2</w:t>
            </w:r>
          </w:p>
        </w:tc>
        <w:tc>
          <w:tcPr>
            <w:tcW w:type="dxa" w:w="3060"/>
          </w:tcPr>
          <w:p>
            <w:r>
              <w:t xml:space="preserve">(none)</w:t>
            </w:r>
          </w:p>
        </w:tc>
      </w:tr>
      <w:tr>
        <w:trPr>
          <w:cantSplit/>
        </w:trPr>
        <w:tc>
          <w:tcPr>
            <w:tcW w:type="dxa" w:w="4860"/>
          </w:tcPr>
          <w:p>
            <w:r>
              <w:t xml:space="preserve">4.0 Roles and Responsibilities</w:t>
            </w:r>
          </w:p>
        </w:tc>
        <w:tc>
          <w:tcPr>
            <w:tcW w:type="dxa" w:w="2880"/>
          </w:tcPr>
          <w:p>
            <w:r>
              <w:t xml:space="preserve">GOVERN 2.1; GOVERN 2.3</w:t>
            </w:r>
          </w:p>
        </w:tc>
        <w:tc>
          <w:tcPr>
            <w:tcW w:type="dxa" w:w="3060"/>
          </w:tcPr>
          <w:p>
            <w:r>
              <w:t xml:space="preserve">(none)</w:t>
            </w:r>
          </w:p>
        </w:tc>
      </w:tr>
      <w:tr>
        <w:trPr>
          <w:cantSplit/>
        </w:trPr>
        <w:tc>
          <w:tcPr>
            <w:tcW w:type="dxa" w:w="4860"/>
          </w:tcPr>
          <w:p>
            <w:r>
              <w:t xml:space="preserve">5.0 Policy Review and Updates</w:t>
            </w:r>
          </w:p>
        </w:tc>
        <w:tc>
          <w:tcPr>
            <w:tcW w:type="dxa" w:w="2880"/>
          </w:tcPr>
          <w:p>
            <w:r>
              <w:t xml:space="preserve">GOVERN 1.5</w:t>
            </w:r>
          </w:p>
        </w:tc>
        <w:tc>
          <w:tcPr>
            <w:tcW w:type="dxa" w:w="3060"/>
          </w:tcPr>
          <w:p>
            <w:r>
              <w:t xml:space="preserve">(none)</w:t>
            </w:r>
          </w:p>
        </w:tc>
      </w:tr>
      <w:tr>
        <w:trPr>
          <w:cantSplit/>
        </w:trPr>
        <w:tc>
          <w:tcPr>
            <w:tcW w:type="dxa" w:w="4860"/>
          </w:tcPr>
          <w:p>
            <w:r>
              <w:t xml:space="preserve">7.0 Reporting AI Incidents and Concerns</w:t>
            </w:r>
          </w:p>
        </w:tc>
        <w:tc>
          <w:tcPr>
            <w:tcW w:type="dxa" w:w="2880"/>
          </w:tcPr>
          <w:p>
            <w:r>
              <w:t xml:space="preserve">GOVERN 2.1; GOVERN 4.3</w:t>
            </w:r>
          </w:p>
        </w:tc>
        <w:tc>
          <w:tcPr>
            <w:tcW w:type="dxa" w:w="3060"/>
          </w:tcPr>
          <w:p>
            <w:r>
              <w:t xml:space="preserve">GV-2.1-005; GV-4.3-002</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AI Acceptable Use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10</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3948</Words>
  <Characters>21075</Characters>
  <DocSecurity>0</DocSecurity>
  <Lines>179</Lines>
  <Paragraphs>139</Paragraphs>
  <ScaleCrop>false</ScaleCrop>
  <HeadingPairs>
    <vt:vector size="2" baseType="variant">
      <vt:variant>
        <vt:lpstr>Title</vt:lpstr>
      </vt:variant>
      <vt:variant>
        <vt:i4>1</vt:i4>
      </vt:variant>
    </vt:vector>
  </HeadingPairs>
  <TitlesOfParts>
    <vt:vector size="1" baseType="lpstr">
      <vt:lpstr>AI Acceptable Use Policy</vt:lpstr>
    </vt:vector>
  </TitlesOfParts>
  <Manager/>
  <Company>anoBytes Technology Solutions LLC</Company>
  <LinksUpToDate>false</LinksUpToDate>
  <CharactersWithSpaces>25026</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AI Acceptable Use Policy</dc:title>
  <dc:subject>AI acceptable use policy template</dc:subject>
  <dc:creator>Nelson Pereira, anoBytes Technology Solutions LLC</dc:creator>
  <cp:keywords>artificial intelligence, llm, large language model, genai, chatbot, coding assistant, package repository, ai governance, nist ai rmf, european union, ai act, ai literacy, gdpr, general data protection regulation, data protection impact assessment, dpia, fundamental rights impact assessment, fria, admt, automated decision-making, high-risk, emotion recognition, biometric categorization, iso/iec 42001, shadow ai, slopsquatting, prompt injection, jailbreaking, ai agents, meeting note-takers, ai-generated, deepfake, transparency, disclosure, privacy notice, prohibited uses, copyright, bias, fairness, non-discrimination, consequential use, consequential decision, hallucination, confabulation, ai incident, ai-use training, data leakage, child sexual abuse material, intimate images, csam, deployer, annex iii, affected workers and their representatives, credentials, consent to record, ownership, hiring, california, illinois, texas, colorado, connecticut, maryland, utah, new york city, bias audit, anti-bias testing, aedt, automated employment decision tool, video interview, facial recognition, reduction in force, assistants</cp:keywords>
  <dc:description>Rules for staff using generative AI at work, from which tools are approved to what may be typed into one and who checks the output, aligned to the NIST AI Risk Management Framework.</dc:description>
  <cp:lastModifiedBy/>
  <cp:revision>1</cp:revision>
  <dcterms:created xsi:type="dcterms:W3CDTF">2026-07-20T00:00:00Z</dcterms:created>
  <dcterms:modified xsi:type="dcterms:W3CDTF">2026-09-07T00:00:00Z</dcterms:modified>
  <cp:category>Template</cp:category>
</cp:coreProperties>
</file>