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 xml:space="preserve">Change Management Policy</w:t>
      </w:r>
    </w:p>
    <w:p>
      <w:pPr>
        <w:pStyle w:val="Heading1"/>
        <w:spacing w:before="0" w:after="80"/>
      </w:pPr>
      <w:r>
        <w:rPr>
          <w:color w:val="auto"/>
          <w:sz w:val="20"/>
          <w:szCs w:val="20"/>
        </w:rPr>
        <w:t xml:space="preserve">Document Control</w:t>
      </w:r>
    </w:p>
    <w:tbl>
      <w:tblPr>
        <w:tblStyle w:val="TableGrid"/>
        <w:tblW w:type="auto" w:w="0"/>
        <w:tblLook w:firstColumn="1" w:firstRow="1" w:lastColumn="0" w:lastRow="0" w:noHBand="0" w:noVBand="1" w:val="04A0"/>
      </w:tblPr>
      <w:tblGrid>
        <w:gridCol w:w="5400"/>
        <w:gridCol w:w="5400"/>
      </w:tblGrid>
      <w:tr>
        <w:tc>
          <w:tcPr>
            <w:tcW w:type="dxa" w:w="5400"/>
          </w:tcPr>
          <w:p>
            <w:r>
              <w:rPr>
                <w:b/>
              </w:rPr>
              <w:t xml:space="preserve">Document title</w:t>
            </w:r>
          </w:p>
        </w:tc>
        <w:tc>
          <w:tcPr>
            <w:tcW w:type="dxa" w:w="5400"/>
          </w:tcPr>
          <w:p>
            <w:r>
              <w:t xml:space="preserve">Change Management Policy</w:t>
            </w:r>
          </w:p>
        </w:tc>
      </w:tr>
      <w:tr>
        <w:tc>
          <w:tcPr>
            <w:tcW w:type="dxa" w:w="5400"/>
          </w:tcPr>
          <w:p>
            <w:r>
              <w:rPr>
                <w:b/>
              </w:rPr>
              <w:t xml:space="preserve">Version</w:t>
            </w:r>
          </w:p>
        </w:tc>
        <w:tc>
          <w:tcPr>
            <w:tcW w:type="dxa" w:w="5400"/>
          </w:tcPr>
          <w:p>
            <w:r>
              <w:t xml:space="preserve">1.0</w:t>
            </w:r>
          </w:p>
        </w:tc>
      </w:tr>
      <w:tr>
        <w:tc>
          <w:tcPr>
            <w:tcW w:type="dxa" w:w="5400"/>
          </w:tcPr>
          <w:p>
            <w:r>
              <w:rPr>
                <w:b/>
              </w:rPr>
              <w:t xml:space="preserve">Document owner</w:t>
            </w:r>
          </w:p>
        </w:tc>
        <w:tc>
          <w:tcPr>
            <w:tcW w:type="dxa" w:w="5400"/>
          </w:tcPr>
          <w:p>
            <w:r>
              <w:t xml:space="preserve">Information Security Lead</w:t>
            </w:r>
          </w:p>
        </w:tc>
      </w:tr>
      <w:tr>
        <w:tc>
          <w:tcPr>
            <w:tcW w:type="dxa" w:w="5400"/>
          </w:tcPr>
          <w:p>
            <w:r>
              <w:rPr>
                <w:b/>
              </w:rPr>
              <w:t xml:space="preserve">Approved by</w:t>
            </w:r>
          </w:p>
        </w:tc>
        <w:tc>
          <w:tcPr>
            <w:tcW w:type="dxa" w:w="5400"/>
          </w:tcPr>
          <w:p>
            <w:r>
              <w:rPr>
                <w:highlight w:val="yellow"/>
              </w:rPr>
              <w:t xml:space="preserve">[Name and title, e.g., Chief Executive Officer]</w:t>
            </w:r>
          </w:p>
        </w:tc>
      </w:tr>
      <w:tr>
        <w:tc>
          <w:tcPr>
            <w:tcW w:type="dxa" w:w="5400"/>
          </w:tcPr>
          <w:p>
            <w:r>
              <w:rPr>
                <w:b/>
              </w:rPr>
              <w:t xml:space="preserve">Effective date</w:t>
            </w:r>
          </w:p>
        </w:tc>
        <w:tc>
          <w:tcPr>
            <w:tcW w:type="dxa" w:w="5400"/>
          </w:tcPr>
          <w:p>
            <w:r>
              <w:rPr>
                <w:highlight w:val="yellow"/>
              </w:rPr>
              <w:t xml:space="preserve">[Date]</w:t>
            </w:r>
          </w:p>
        </w:tc>
      </w:tr>
      <w:tr>
        <w:tc>
          <w:tcPr>
            <w:tcW w:type="dxa" w:w="5400"/>
          </w:tcPr>
          <w:p>
            <w:r>
              <w:rPr>
                <w:b/>
              </w:rPr>
              <w:t xml:space="preserve">Next review date</w:t>
            </w:r>
          </w:p>
        </w:tc>
        <w:tc>
          <w:tcPr>
            <w:tcW w:type="dxa" w:w="5400"/>
          </w:tcPr>
          <w:p>
            <w:r>
              <w:rPr>
                <w:highlight w:val="yellow"/>
              </w:rPr>
              <w:t xml:space="preserve">[Date, no later than one year after the effective date]</w:t>
            </w:r>
          </w:p>
        </w:tc>
      </w:tr>
      <w:tr>
        <w:tc>
          <w:tcPr>
            <w:tcW w:type="dxa" w:w="5400"/>
          </w:tcPr>
          <w:p>
            <w:r>
              <w:rPr>
                <w:b/>
              </w:rPr>
              <w:t xml:space="preserve">Classification</w:t>
            </w:r>
          </w:p>
        </w:tc>
        <w:tc>
          <w:tcPr>
            <w:tcW w:type="dxa" w:w="5400"/>
          </w:tcPr>
          <w:p>
            <w:r>
              <w:rPr>
                <w:highlight w:val="yellow"/>
              </w:rPr>
              <w:t xml:space="preserve">[e.g., Internal (shareable with customers and auditors on request)]</w:t>
            </w:r>
          </w:p>
        </w:tc>
      </w:tr>
    </w:tbl>
    <w:p>
      <w:pPr>
        <w:pStyle w:val="Heading1"/>
        <w:spacing w:before="0" w:after="80"/>
      </w:pPr>
      <w:r>
        <w:rPr>
          <w:color w:val="auto"/>
          <w:sz w:val="20"/>
          <w:szCs w:val="20"/>
        </w:rPr>
        <w:t xml:space="preserve">Revision History</w:t>
      </w:r>
    </w:p>
    <w:tbl>
      <w:tblPr>
        <w:tblStyle w:val="TableGrid"/>
        <w:tblW w:type="auto" w:w="0"/>
        <w:tblLook w:firstColumn="1" w:firstRow="1" w:lastColumn="0" w:lastRow="0" w:noHBand="0" w:noVBand="1" w:val="04A0"/>
      </w:tblPr>
      <w:tblGrid>
        <w:gridCol w:w="1440"/>
        <w:gridCol w:w="2520"/>
        <w:gridCol w:w="6840"/>
      </w:tblGrid>
      <w:tr>
        <w:trPr>
          <w:tblHeader/>
        </w:trPr>
        <w:tc>
          <w:tcPr>
            <w:tcW w:type="dxa" w:w="1440"/>
          </w:tcPr>
          <w:p>
            <w:r>
              <w:rPr>
                <w:b/>
              </w:rPr>
              <w:t xml:space="preserve">Version</w:t>
            </w:r>
          </w:p>
        </w:tc>
        <w:tc>
          <w:tcPr>
            <w:tcW w:type="dxa" w:w="2520"/>
          </w:tcPr>
          <w:p>
            <w:r>
              <w:rPr>
                <w:b/>
              </w:rPr>
              <w:t xml:space="preserve">Date</w:t>
            </w:r>
          </w:p>
        </w:tc>
        <w:tc>
          <w:tcPr>
            <w:tcW w:type="dxa" w:w="6840"/>
          </w:tcPr>
          <w:p>
            <w:r>
              <w:rPr>
                <w:b/>
              </w:rPr>
              <w:t xml:space="preserve">Summary of changes</w:t>
            </w:r>
          </w:p>
        </w:tc>
      </w:tr>
      <w:tr>
        <w:tc>
          <w:tcPr>
            <w:tcW w:type="dxa" w:w="1440"/>
          </w:tcPr>
          <w:p>
            <w:r>
              <w:t xml:space="preserve">1.0</w:t>
            </w:r>
          </w:p>
        </w:tc>
        <w:tc>
          <w:tcPr>
            <w:tcW w:type="dxa" w:w="2520"/>
          </w:tcPr>
          <w:p>
            <w:r>
              <w:rPr>
                <w:highlight w:val="yellow"/>
              </w:rPr>
              <w:t xml:space="preserve">[Date]</w:t>
            </w:r>
          </w:p>
        </w:tc>
        <w:tc>
          <w:tcPr>
            <w:tcW w:type="dxa" w:w="6840"/>
          </w:tcPr>
          <w:p>
            <w:r>
              <w:t xml:space="preserve">Initial version.</w:t>
            </w:r>
          </w:p>
        </w:tc>
      </w:tr>
    </w:tbl>
    <w:p>
      <w:pPr>
        <w:pStyle w:val="Heading1"/>
      </w:pPr>
      <w:r>
        <w:t xml:space="preserve">1.0 Purpose</w:t>
      </w:r>
    </w:p>
    <w:p>
      <w:r>
        <w:t xml:space="preserve">This policy defines how </w:t>
      </w:r>
      <w:r>
        <w:rPr>
          <w:highlight w:val="yellow"/>
        </w:rPr>
        <w:t xml:space="preserve">[Company Name]</w:t>
      </w:r>
      <w:r>
        <w:t xml:space="preserve"> ("the organization") changes its systems (software releases, upgrades, configuration, network changes) without unplanned downtime and without weakening the controls that protect it.</w:t>
      </w:r>
    </w:p>
    <w:p>
      <w:r>
        <w:t>This policy is a supporting policy of the organization's Information Security Policy, and it is the change management process the Information Security Policy requires system changes to follow. It also defines the change routes (the three change types in Section 3.1) that the Vulnerability Management Policy uses for patching. At a policy level, it puts into practice the change management control of ISO/IEC 27001:2022 Annex A and the corresponding outcomes of the NIST Cybersecurity Framework (CSF) 2.0 (see Section 9.0).</w:t>
      </w:r>
    </w:p>
    <w:p>
      <w:pPr>
        <w:pStyle w:val="Heading1"/>
      </w:pPr>
      <w:r>
        <w:t xml:space="preserve">2.0 Scope</w:t>
      </w:r>
    </w:p>
    <w:p>
      <w:r>
        <w:t xml:space="preserve">This policy applies to changes to the organization's live, in-use systems (production systems) and the infrastructure behind them, wherever they are hosted: servers, cloud services and their configuration, network equipment, business applications, and security tooling.</w:t>
      </w:r>
    </w:p>
    <w:p>
      <w:r>
        <w:t xml:space="preserve">A change is anything that alters how a production system works, is configured, or is protected. Using a system through its normal functions (entering data, editing the content it exists to hold, running reports) is not a change. Changing data outside the application that owns it, such as editing a database directly or running a bulk update, is a change. Altering configuration, code, infrastructure, or a security setting is a change, however routine it feels. When in doubt, treat the work as a change.</w:t>
      </w:r>
    </w:p>
    <w:p>
      <w:r>
        <w:t xml:space="preserve">Changes made to the organization's systems by a service provider follow this process; the provider's own change approval does not replace the organization's. Changes a vendor makes to a service the organization uses but does not control are outside this process. For those, the organization reviews the vendor's change notices for </w:t>
      </w:r>
      <w:r>
        <w:rPr>
          <w:highlight w:val="yellow"/>
        </w:rPr>
        <w:t xml:space="preserve">[the services it depends on]</w:t>
      </w:r>
      <w:r>
        <w:t xml:space="preserve">. At a minimum this covers the services behind its important systems; Section 3.3 defines an important system. System owners check the notices for their services (Section 4.0) and bring anything that needs action to the operations review (the standing meeting Section 3.5 defines), which records the check. Where a notice means the organization must act, it starts a change record for that work.</w:t>
      </w:r>
    </w:p>
    <w:p>
      <w:r>
        <w:t xml:space="preserve">Some related work follows a different process. Granting or removing access (a person's, a service account's, or an integration's) follows the Access Control Policy. User devices follow the Remote Work &amp; Mobile Device Policy. During an incident, the response team's own containment and response actions follow the Incident Response Policy; during a Business Continuity &amp; Disaster Recovery Plan activation, they follow that plan.</w:t>
      </w:r>
    </w:p>
    <w:p>
      <w:r>
        <w:t xml:space="preserve">Whoever made a lasting change to a system during an incident or an activation records it under this policy within the same window Section 3.5 gives for completing an emergency change record, starting when the incident closes or the plan stands down. Where a response runs longer than </w:t>
      </w:r>
      <w:r>
        <w:rPr>
          <w:highlight w:val="yellow"/>
        </w:rPr>
        <w:t xml:space="preserve">[two weeks]</w:t>
      </w:r>
      <w:r>
        <w:t xml:space="preserve">, the changes made so far are recorded at that point and the record continues from there. Where response work needs a change that cannot wait for normal approval, it runs as an emergency change (Section 3.5). Other changes take their normal route.</w:t>
      </w:r>
    </w:p>
    <w:p>
      <w:pPr>
        <w:pStyle w:val="Heading1"/>
      </w:pPr>
      <w:r>
        <w:t xml:space="preserve">3.0 Policy Statements</w:t>
      </w:r>
    </w:p>
    <w:p>
      <w:r>
        <w:t>Throughout this policy, a statement of what the organization or its people do ("is encrypted", "are recorded") is a requirement. So are "must", "shall", and direct instructions such as "use only" or "never". The words "may" and "is acceptable" mark a permission. Where a requirement needs a planned deviation, Section 6.0 describes how to request an exception. Text in square brackets marks a decision to make when adopting this policy: a placeholder to fill in, a starting value to set, or a passage to review and then keep, adapt, or delete. Remove the brackets and the yellow highlighting after each decision. Some brackets hold a note to you rather than text to keep; delete the note once you have acted on it.</w:t>
      </w:r>
    </w:p>
    <w:p>
      <w:pPr>
        <w:pStyle w:val="Heading2"/>
      </w:pPr>
      <w:r>
        <w:t xml:space="preserve">3.1 Change Types</w:t>
      </w:r>
    </w:p>
    <w:p>
      <w:r>
        <w:t xml:space="preserve">Every change is one of three types, summarized in Appendix 1.</w:t>
      </w:r>
    </w:p>
    <w:p>
      <w:pPr>
        <w:pStyle w:val="ListBullet"/>
      </w:pPr>
      <w:r>
        <w:t xml:space="preserve">A </w:t>
      </w:r>
      <w:r>
        <w:rPr>
          <w:b/>
        </w:rPr>
        <w:t xml:space="preserve">standard change</w:t>
      </w:r>
      <w:r>
        <w:t xml:space="preserve"> is a change on the pre-approved standard change list: low-risk, repeatable, and run from a documented procedure (for example, routine automated patching under the Vulnerability Management Policy, security-tool definition updates, or a like-for-like hardware swap).</w:t>
      </w:r>
    </w:p>
    <w:p>
      <w:pPr>
        <w:pStyle w:val="ListBullet"/>
      </w:pPr>
      <w:r>
        <w:t xml:space="preserve">A </w:t>
      </w:r>
      <w:r>
        <w:rPr>
          <w:b/>
        </w:rPr>
        <w:t xml:space="preserve">normal change</w:t>
      </w:r>
      <w:r>
        <w:t xml:space="preserve"> is everything that is neither standard nor an emergency: it is assessed and approved before it is made.</w:t>
      </w:r>
    </w:p>
    <w:p>
      <w:pPr>
        <w:pStyle w:val="ListBullet"/>
      </w:pPr>
      <w:r>
        <w:t xml:space="preserve">An </w:t>
      </w:r>
      <w:r>
        <w:rPr>
          <w:b/>
        </w:rPr>
        <w:t xml:space="preserve">emergency change</w:t>
      </w:r>
      <w:r>
        <w:t xml:space="preserve"> fixes or releases something that cannot wait (Section 3.5).</w:t>
      </w:r>
    </w:p>
    <w:p>
      <w:r>
        <w:t xml:space="preserve">The standard change list works as follows:</w:t>
      </w:r>
    </w:p>
    <w:p>
      <w:pPr>
        <w:pStyle w:val="ListBullet"/>
      </w:pPr>
      <w:r>
        <w:t xml:space="preserve">The Information Security Lead maintains the standard change list and reviews it at least </w:t>
      </w:r>
      <w:r>
        <w:rPr>
          <w:highlight w:val="yellow"/>
        </w:rPr>
        <w:t>[annually]</w:t>
      </w:r>
      <w:r>
        <w:t>. The list is kept with the change records (Section 4.0). A change joins the list only when the change approver (Section 3.2) and the Information Security Lead agree it is low-risk, repeatable, and documented. Where the two would be the same person, or one of them is the only person who will run the change, Executive Management (the organization's senior leadership, as the Information Security Policy defines it) confirms the addition. A procedure already on the list is changed the same way it joined, and the same conflict rule applies: the change approver and the Information Security Lead agree the changed procedure is still low-risk, repeatable, and documented. A change that came off the list rejoins it the same way.</w:t>
      </w:r>
    </w:p>
    <w:p>
      <w:pPr>
        <w:pStyle w:val="ListBullet"/>
      </w:pPr>
      <w:r>
        <w:t xml:space="preserve">A standard change needs no per-change approval, because the procedure was approved onto the list. The procedure carries the rollback plan and the testing Section 3.3 requires, both agreed when the change joined the list. Whoever runs a standard change follows that procedure, verifies the result, and logs what changed, on which system, when, who or what ran it, which procedure they followed, and whether it worked. Where automation runs the change, its log is the record and the person who owns the automation verifies the result. A standard change that fails or starts causing problems comes off the list until its procedure is fixed, and the operations review (Section 3.5) looks at it alongside the failed normal changes (Section 3.4).</w:t>
      </w:r>
    </w:p>
    <w:p>
      <w:pPr>
        <w:pStyle w:val="Heading2"/>
      </w:pPr>
      <w:r>
        <w:t xml:space="preserve">3.2 Requesting, Assessing, and Approving</w:t>
      </w:r>
    </w:p>
    <w:p>
      <w:pPr>
        <w:pStyle w:val="ListBullet"/>
      </w:pPr>
      <w:r>
        <w:t xml:space="preserve">A change is approved before it is made, and never by the person making it (separation of duties, also called segregation of duties: conflicting steps, such as making and approving a change, are split between people). The change approver (</w:t>
      </w:r>
      <w:r>
        <w:rPr>
          <w:highlight w:val="yellow"/>
        </w:rPr>
        <w:t xml:space="preserve">[the head of IT or the Information Security Lead]</w:t>
      </w:r>
      <w:r>
        <w:t xml:space="preserve">) approves normal changes. Before approving, the approver checks the planned timing against other approved changes and any declared freeze. An approval covers the change as recorded; where the plan or the timing changes materially, the approver reviews it again.</w:t>
      </w:r>
    </w:p>
    <w:p>
      <w:pPr>
        <w:pStyle w:val="ListBullet"/>
      </w:pPr>
      <w:r>
        <w:t xml:space="preserve">The approver does not have to be a technical person: judging the risk and the rollback plan does not require understanding every technical detail.</w:t>
      </w:r>
    </w:p>
    <w:p>
      <w:pPr>
        <w:pStyle w:val="ListBullet"/>
      </w:pPr>
      <w:r>
        <w:t xml:space="preserve">Where the change approver is the person making the change, or is unavailable, </w:t>
      </w:r>
      <w:r>
        <w:rPr>
          <w:highlight w:val="yellow"/>
        </w:rPr>
        <w:t xml:space="preserve">[name someone other than the change approver: the Information Security Lead, or a member of Executive Management where the Lead is already the change approver]</w:t>
      </w:r>
      <w:r>
        <w:t xml:space="preserve"> approves against the change record.</w:t>
      </w:r>
    </w:p>
    <w:p>
      <w:pPr>
        <w:pStyle w:val="ListBullet"/>
      </w:pPr>
      <w:r>
        <w:t xml:space="preserve">A change that carries significant business risk goes to Executive Management: major downtime, a change that could interrupt an important system (Section 3.3) or lose information it holds, or a step that cannot be undone. </w:t>
      </w:r>
      <w:r>
        <w:rPr>
          <w:highlight w:val="yellow"/>
        </w:rPr>
        <w:t xml:space="preserve">[Set the threshold for significant business risk to match the written definitions of a significant change and a significant risk that Executive Management keeps under the Information Security Policy. Those definitions govern where they exist; the list above is the starting point.]</w:t>
      </w:r>
      <w:r>
        <w:t xml:space="preserve"> In a small organization one person may approve most changes; at any size, the person who makes a change and the person who approves it are two different people. Where the organization is too small for a second internal approver, name an external one; the deputy named under the Information Security Policy may be a qualified external provider.</w:t>
      </w:r>
    </w:p>
    <w:p>
      <w:pPr>
        <w:pStyle w:val="ListBullet"/>
      </w:pPr>
      <w:r>
        <w:t xml:space="preserve">Executive Management may declare a </w:t>
      </w:r>
      <w:r>
        <w:rPr>
          <w:b/>
        </w:rPr>
        <w:t>change freeze</w:t>
      </w:r>
      <w:r>
        <w:t>: a period (for example, over year-end or a peak season) when normal changes stop. The declaration says what it covers and when it ends, and reaches everyone who makes or approves changes. Emergency changes still run, and so do listed standard changes unless the declaration says otherwise. Fixes due under the Vulnerability Management Policy run on the routes below. Executive Management decides whether to end the freeze early or extend it.</w:t>
      </w:r>
    </w:p>
    <w:p>
      <w:pPr>
        <w:pStyle w:val="ListBullet"/>
      </w:pPr>
      <w:r>
        <w:t xml:space="preserve">During a freeze, a fix for a Critical or actively exploited vulnerability (Vulnerability Management Policy) may run as an emergency change; where the change approver can approve it in time, it takes the normal route like any other fix. Any other fix due under the Vulnerability Management Policy's timeframes takes the normal route, approved and released during the freeze. The change approver records that the fix ran during the freeze and why.</w:t>
      </w:r>
    </w:p>
    <w:p>
      <w:pPr>
        <w:pStyle w:val="ListBullet"/>
      </w:pPr>
      <w:r>
        <w:t xml:space="preserve">Where the organization would rather hold a fix through the freeze, Executive Management accepts the missed timeframe in writing, at the declaration or when the fix falls due, recorded under the Information Security Policy's risk process. Where a fix waits, the Vulnerability Management Policy still requires a compensating measure within the fix's original timeframe, and an exception under that policy's Section 6.0 once the fix passes the point it sets.</w:t>
      </w:r>
    </w:p>
    <w:p>
      <w:pPr>
        <w:pStyle w:val="ListBullet"/>
      </w:pPr>
      <w:r>
        <w:t xml:space="preserve">Every normal change starts as a </w:t>
      </w:r>
      <w:r>
        <w:rPr>
          <w:b/>
        </w:rPr>
        <w:t>change record</w:t>
      </w:r>
      <w:r>
        <w:t>: what will change, why, the systems affected, the risk if it goes wrong rated high, medium, or low, how it will be tested, the plan for undoing it (the rollback plan), who will make it, and when it will happen. The change approver assesses the change: they confirm or change that rating, and when in doubt they rate it higher. Once approved, the record also says who approved it and when.</w:t>
      </w:r>
    </w:p>
    <w:p>
      <w:pPr>
        <w:pStyle w:val="ListBullet"/>
      </w:pPr>
      <w:r>
        <w:t>Some changes reach production through a version-controlled release path that builds, tests, and deploys them (a pipeline). There, the request to merge a change and its recorded review (the merge request) are the change record. Approval by a reviewer who did not write the change satisfies the approval requirement. Release through the approved pipeline (the deploy step that follows an approved merge) may join the standard change list (Section 3.1); each change's merge request and review are still required. Where a tool is approved to act on its own, the Secure Development Policy's Section 3.2 says what stands in for that review.</w:t>
      </w:r>
    </w:p>
    <w:p>
      <w:pPr>
        <w:pStyle w:val="ListBullet"/>
      </w:pPr>
      <w:r>
        <w:t xml:space="preserve">The merge request carries the record's fields (the risk, the rollback, the timing), and the rest of this section still applies to it: the reviewer checks any declared change freeze, and a change with significant business risk still goes to Executive Management.</w:t>
      </w:r>
    </w:p>
    <w:p>
      <w:pPr>
        <w:pStyle w:val="ListBullet"/>
      </w:pPr>
      <w:r>
        <w:t>The change approver asks the security questions alongside the operational ones: does the change touch access, encryption, logging, backups, or what the internet can reach? A change that would weaken or switch off a protection is not approved until the Information Security Lead agrees, or Executive Management accepts the risk in writing. Where the Information Security Lead is the change approver, Executive Management gives that agreement instead. A risk accepted this way goes to the Information Security Policy's risk process.</w:t>
      </w:r>
    </w:p>
    <w:p>
      <w:pPr>
        <w:pStyle w:val="ListBullet"/>
      </w:pPr>
      <w:r>
        <w:t>The change approver also asks what the organization has promised: where a contract requires telling customers before a material (contractually significant) change to the service or its security measures, that notice is part of the change plan (the Information Security Policy's record of contractual requirements says where this applies).</w:t>
      </w:r>
    </w:p>
    <w:p>
      <w:pPr>
        <w:pStyle w:val="ListBullet"/>
      </w:pPr>
      <w:r>
        <w:t xml:space="preserve">A change a tool or an AI agent makes or writes counts as made and written by the person who directed it. Where a tool is approved to act on its own, the maker is the person the approval names as accountable for it under the AI Acceptable Use Policy. A tool acting on its own runs standard changes only, since nothing else can carry the prior approval this section requires.</w:t>
      </w:r>
    </w:p>
    <w:p>
      <w:pPr>
        <w:pStyle w:val="Heading2"/>
      </w:pPr>
      <w:r>
        <w:t xml:space="preserve">3.3 Testing, Rollback, and Separate Environments</w:t>
      </w:r>
    </w:p>
    <w:p>
      <w:pPr>
        <w:pStyle w:val="ListBullet"/>
      </w:pPr>
      <w:r>
        <w:t>A change is tested before it reaches production wherever a separate practice copy of the system (a test environment) or a small first group of users (a pilot group) exists. The change record says which was used, or names the platform and says neither exists. Where none exists, the rollback plan is the main safeguard: the approver checks it more closely, and the change is scheduled for the time when a failure would affect the fewest people.</w:t>
      </w:r>
    </w:p>
    <w:p>
      <w:pPr>
        <w:pStyle w:val="ListBullet"/>
      </w:pPr>
      <w:r>
        <w:t xml:space="preserve">No change is approved without a rollback plan. For a step that cannot be undone, a written recovery path takes the rollback plan's place: what will be done if the step fails (restore, rebuild, or repair). A step that cannot be undone carries significant business risk under Section 3.2.</w:t>
      </w:r>
    </w:p>
    <w:p>
      <w:pPr>
        <w:pStyle w:val="ListBullet"/>
      </w:pPr>
      <w:r>
        <w:t xml:space="preserve">Where a rollback plan depends on restoring a backup, that restore is proven to work before the plan is relied on, and at least annually after that. For a system behind a critical activity, the Business Continuity &amp; Disaster Recovery Plan's restore tests meet the annual requirement. The first proof still comes before the rollback plan is relied on, since those tests reach each system only over the course of a year. For every other system, security operations restores into an isolated location, never over the live system, and checks that what comes back is complete and usable. The isolated location is protected like production while the restore is checked, and the restored copy is removed afterward.</w:t>
      </w:r>
    </w:p>
    <w:p>
      <w:pPr>
        <w:pStyle w:val="ListBullet"/>
      </w:pPr>
      <w:r>
        <w:t xml:space="preserve">Two kinds of change on an important system need a point-in-time copy of the system (a snapshot) or a verified backup (one whose restore has been proven to work) taken first: a change with significant business risk (Section 3.2), and a change the approver rates high-risk. An important system is one a critical activity depends on (a critical activity is one the business cannot go without for long; the Business Continuity &amp; Disaster Recovery Plan names them, and the asset inventory marks the systems behind them), or one holding Confidential information under the Data Handling Policy. The Vulnerability Management Policy requires the same before a major or risky patch.</w:t>
      </w:r>
    </w:p>
    <w:p>
      <w:pPr>
        <w:pStyle w:val="ListBullet"/>
      </w:pPr>
      <w:r>
        <w:t>Where the organization develops software or configuration, development and test work happens apart from production, and the finished change reaches production only through this process.</w:t>
      </w:r>
    </w:p>
    <w:p>
      <w:pPr>
        <w:pStyle w:val="Heading2"/>
      </w:pPr>
      <w:r>
        <w:t xml:space="preserve">3.4 Making and Closing Changes</w:t>
      </w:r>
    </w:p>
    <w:p>
      <w:pPr>
        <w:pStyle w:val="ListBullet"/>
      </w:pPr>
      <w:r>
        <w:t>Planned changes that can interrupt service run in agreed time slots set aside for disruptive work (</w:t>
      </w:r>
      <w:r>
        <w:rPr>
          <w:b/>
        </w:rPr>
        <w:t>maintenance windows</w:t>
      </w:r>
      <w:r>
        <w:t xml:space="preserve">). The system owner tells the people affected as soon as the window is agreed, and at least </w:t>
      </w:r>
      <w:r>
        <w:rPr>
          <w:highlight w:val="yellow"/>
        </w:rPr>
        <w:t>[3 business days]</w:t>
      </w:r>
      <w:r>
        <w:t xml:space="preserve"> before planned service-interrupting work. Where an emergency change interrupts service, whoever is making the change tells the people affected as soon as the fix is under way.</w:t>
      </w:r>
    </w:p>
    <w:p>
      <w:pPr>
        <w:pStyle w:val="ListBullet"/>
      </w:pPr>
      <w:r>
        <w:t xml:space="preserve">After a normal or emergency change, whoever made it verifies the result and the system owner confirms the system works. Where the change touched access, encryption, logging, backups, or what the internet can reach (Section 3.2), whoever made the change confirms each of those protections still works and records that in the change record.</w:t>
      </w:r>
    </w:p>
    <w:p>
      <w:pPr>
        <w:pStyle w:val="ListBullet"/>
      </w:pPr>
      <w:r>
        <w:t xml:space="preserve">Whoever made the change then updates any documentation the change made inaccurate (the asset inventory, diagrams, runbooks) and closes the record: it worked, it was rolled back, or part of it took effect and the record says what remains. A failed change is reviewed at the next operations review (Section 3.5) for what the assessment missed; where the failure caused a security incident that gets a post-incident review under the Incident Response Policy, the failed-change review folds into the post-incident review rather than running separately.</w:t>
      </w:r>
    </w:p>
    <w:p>
      <w:pPr>
        <w:pStyle w:val="ListBullet"/>
      </w:pPr>
      <w:r>
        <w:t xml:space="preserve">A change made outside this process is an </w:t>
      </w:r>
      <w:r>
        <w:rPr>
          <w:b/>
        </w:rPr>
        <w:t>unauthorized change</w:t>
      </w:r>
      <w:r>
        <w:t xml:space="preserve"> and a violation (Section 8.0). When one is found, it is reviewed like an emergency change after the fact: kept or rolled back deliberately, and recorded either way. An unauthorized change with no known maker is treated as a suspected security incident under the Incident Response Policy until shown otherwise. An honest wrong call on whether work counted as a change (the Section 2.0 boundary) is reported under Section 7.0 and corrected, rather than treated as a violation; a concealed one is a violation (Section 8.0). For the first </w:t>
      </w:r>
      <w:r>
        <w:rPr>
          <w:highlight w:val="yellow"/>
        </w:rPr>
        <w:t xml:space="preserve">[90 days]</w:t>
      </w:r>
      <w:r>
        <w:t xml:space="preserve"> after adoption, a change made in good faith without its record is corrected by filing the record, and the gap is noted at the next review rather than treated as a violation.</w:t>
      </w:r>
    </w:p>
    <w:p>
      <w:pPr>
        <w:pStyle w:val="Heading2"/>
      </w:pPr>
      <w:r>
        <w:t xml:space="preserve">3.5 Emergency Changes</w:t>
      </w:r>
    </w:p>
    <w:p>
      <w:pPr>
        <w:pStyle w:val="ListBullet"/>
      </w:pPr>
      <w:r>
        <w:t xml:space="preserve">An emergency change fixes or releases something that cannot wait for its normal route: an outage, a Critical or actively exploited vulnerability, a fix that incident response needs now, a fix that must run during a change freeze (Section 3.2), or a release held by an overdue finding under the Secure Development Policy's release gate (that policy's Section 3.4), which also has a compensating measure go in at the same time. The change approver or the Information Security Lead approves verbally or by message. The approval comes from someone other than the person making the fix. Where the change approver and the Information Security Lead would both be the person making the fix, </w:t>
      </w:r>
      <w:r>
        <w:rPr>
          <w:highlight w:val="yellow"/>
        </w:rPr>
        <w:t>[the deputy named under the Information Security Policy]</w:t>
      </w:r>
      <w:r>
        <w:t xml:space="preserve"> approves, standing in for the Lead in the same way. Where no deputy is named, Executive Management approves. The change record is completed within </w:t>
      </w:r>
      <w:r>
        <w:rPr>
          <w:highlight w:val="yellow"/>
        </w:rPr>
        <w:t>[2 business days]</w:t>
      </w:r>
      <w:r>
        <w:t xml:space="preserve"> of the change (keep this value matched to the Vulnerability Management Policy and the Secure Development Policy). It names who approved the change and when.</w:t>
      </w:r>
    </w:p>
    <w:p>
      <w:pPr>
        <w:pStyle w:val="ListBullet"/>
      </w:pPr>
      <w:r>
        <w:t xml:space="preserve">The person who receives the approval keeps a written one (an email or a chat message) with the change record, and writes a spoken one into the record.</w:t>
      </w:r>
    </w:p>
    <w:p>
      <w:pPr>
        <w:pStyle w:val="ListBullet"/>
      </w:pPr>
      <w:r>
        <w:t>When harm is ongoing or imminent and no approver can be reached, whoever is responding acts, records who they tried to reach, and informs an approver at the first opportunity, and in any case before the change record is completed. Acting without approval in that situation complies with this policy. Acting without trying to reach an approver does not.</w:t>
      </w:r>
    </w:p>
    <w:p>
      <w:pPr>
        <w:pStyle w:val="ListBullet"/>
      </w:pPr>
      <w:r>
        <w:t xml:space="preserve">Every emergency change is reviewed at the next operations review: was it truly an emergency, did it work, and does anything need to be redone properly. Where the same kind of change keeps running as an emergency, the review decides whether the normal route is too slow for it or the emergency route is being used to skip approval, and acts on the answer.</w:t>
      </w:r>
    </w:p>
    <w:p>
      <w:pPr>
        <w:pStyle w:val="ListBullet"/>
      </w:pPr>
      <w:r>
        <w:t xml:space="preserve">The operations review is whichever standing meeting the organization already uses to review IT work, held at least </w:t>
      </w:r>
      <w:r>
        <w:rPr>
          <w:highlight w:val="yellow"/>
        </w:rPr>
        <w:t>[monthly]</w:t>
      </w:r>
      <w:r>
        <w:t xml:space="preserve">. Where no such meeting exists, the Information Security Lead runs the review at that interval and covers the same items: the emergency changes, the failed changes (Section 3.4), any standard change that came off the list (Section 3.1), and the vendor change notices system owners bring (Section 2.0).</w:t>
      </w:r>
    </w:p>
    <w:p>
      <w:pPr>
        <w:pStyle w:val="Heading1"/>
      </w:pPr>
      <w:r>
        <w:t xml:space="preserve">4.0 Roles and Responsibilities</w:t>
      </w:r>
    </w:p>
    <w:p>
      <w:pPr>
        <w:pStyle w:val="ListBullet"/>
      </w:pPr>
      <w:r>
        <w:rPr>
          <w:b/>
        </w:rPr>
        <w:t>The Information Security Lead</w:t>
      </w:r>
      <w:r>
        <w:t xml:space="preserve"> owns this policy, maintains the standard change list (Section 3.1), agrees to or escalates changes that would weaken a protection, or refers that agreement to Executive Management where the Lead is the change approver (Section 3.2), joins the operations review (Section 3.5), and takes proposed updates of this policy to Executive Management for approval.</w:t>
      </w:r>
    </w:p>
    <w:p>
      <w:pPr>
        <w:pStyle w:val="ListBullet"/>
      </w:pPr>
      <w:r>
        <w:rPr>
          <w:b/>
        </w:rPr>
        <w:t>Executive Management</w:t>
      </w:r>
      <w:r>
        <w:t xml:space="preserve"> approves changes that carry significant business risk (Section 3.2), accepts in writing the risk of a change that weakens a protection, declares and ends change freezes, approves an emergency change where no deputy is named (Section 3.5), and approves changes to this policy (Section 5.0).</w:t>
      </w:r>
    </w:p>
    <w:p>
      <w:pPr>
        <w:pStyle w:val="ListBullet"/>
      </w:pPr>
      <w:r>
        <w:rPr>
          <w:b/>
        </w:rPr>
        <w:t>The change approver</w:t>
      </w:r>
      <w:r>
        <w:t xml:space="preserve"> (named in Section 3.2) assesses and approves normal changes and keeps the change records in </w:t>
      </w:r>
      <w:r>
        <w:rPr>
          <w:highlight w:val="yellow"/>
        </w:rPr>
        <w:t>[the ticketing system or log the organization uses]</w:t>
      </w:r>
      <w:r>
        <w:t>, retained under the Data Handling Policy's retention schedule.</w:t>
      </w:r>
    </w:p>
    <w:p>
      <w:pPr>
        <w:pStyle w:val="ListBullet"/>
      </w:pPr>
      <w:r>
        <w:rPr>
          <w:b/>
        </w:rPr>
        <w:t>IT, or the organization's service provider</w:t>
      </w:r>
      <w:r>
        <w:t>, carries out changes as approved. Where the change record names someone else as making the change, such as a developer releasing through the pipeline, that person carries it out on the same terms. Security operations, with IT (an internal team or a qualified service provider; in a small organization the Information Security Lead performs both), watches for unauthorized changes in the logs the Logging and Monitoring Policy requires, where tooling allows. Security operations also proves the restores that rollback plans depend on (Section 3.3).</w:t>
      </w:r>
    </w:p>
    <w:p>
      <w:pPr>
        <w:pStyle w:val="ListBullet"/>
      </w:pPr>
      <w:r>
        <w:rPr>
          <w:b/>
        </w:rPr>
        <w:t>System owners</w:t>
      </w:r>
      <w:r>
        <w:t xml:space="preserve"> (the owners the Information Security Policy's asset inventory assigns) agree the maintenance windows for their systems and tell the people affected (Section 3.4), review vendor change notices for their services (Section 2.0), and confirm the system works after a change.</w:t>
      </w:r>
    </w:p>
    <w:p>
      <w:pPr>
        <w:pStyle w:val="ListBullet"/>
      </w:pPr>
      <w:r>
        <w:rPr>
          <w:b/>
        </w:rPr>
        <w:t>Everyone</w:t>
      </w:r>
      <w:r>
        <w:t xml:space="preserve"> makes changes only through this process, and reports unauthorized or unrecorded changes promptly (Section 7.0).</w:t>
      </w:r>
    </w:p>
    <w:p>
      <w:pPr>
        <w:pStyle w:val="Heading1"/>
      </w:pPr>
      <w:r>
        <w:t xml:space="preserve">5.0 Policy Review and Updates</w:t>
      </w:r>
    </w:p>
    <w:p>
      <w:r>
        <w:t xml:space="preserve">This policy shall be reviewed at least annually, and sooner when the business, technology, regulations, or the threat environment change significantly. The Information Security Lead starts the review, and Executive Management approves changes before they take effect, following the review process in the Information Security Policy.</w:t>
      </w:r>
    </w:p>
    <w:p>
      <w:pPr>
        <w:pStyle w:val="Heading1"/>
      </w:pPr>
      <w:r>
        <w:t xml:space="preserve">6.0 Exceptions</w:t>
      </w:r>
    </w:p>
    <w:p>
      <w:r>
        <w:t xml:space="preserve">Any planned deviation from this policy requires a documented exception, requested and approved through the exception process in the Information Security Policy. Submit the request in writing to the Information Security Lead. Describe the business reason, what the exception covers, how long it is needed, and any temporary safeguards that reduce the risk. Exceptions expire and are reviewed under that process.</w:t>
      </w:r>
    </w:p>
    <w:p>
      <w:r>
        <w:t xml:space="preserve">An exception documents a temporary gap that stays subject to expiry and review. A gap that is discovered rather than planned is reported and handled first (see Section 7.0); if it must stay open afterward, an exception is requested promptly. A deviation someone chose to make without approval, or a discovered gap kept outside this process, is a violation (see Section 8.0).</w:t>
      </w:r>
    </w:p>
    <w:p>
      <w:pPr>
        <w:pStyle w:val="Heading1"/>
      </w:pPr>
      <w:r>
        <w:t xml:space="preserve">7.0 Reporting Security Incidents and Concerns</w:t>
      </w:r>
    </w:p>
    <w:p>
      <w:r>
        <w:t>Promptly report unauthorized or unrecorded changes, a change that weakened a protection, suspected security incidents, and other security concerns. Use the incident reporting contacts kept in the Information Security Policy (its Appendix 1). A report to any manager counts; the manager passes it to those contacts. Failing to report a security incident you know about or reasonably suspect is itself a policy violation (see Section 8.0).</w:t>
      </w:r>
    </w:p>
    <w:p>
      <w:r>
        <w:t xml:space="preserve">The organization does not punish anyone for making a good-faith report. </w:t>
      </w:r>
      <w:r>
        <w:rPr>
          <w:highlight w:val="yellow"/>
        </w:rPr>
        <w:t xml:space="preserve">[It treats an honest mistake reported promptly more leniently than one concealed, and a late report more leniently than no report at all.]</w:t>
      </w:r>
      <w:r>
        <w:t xml:space="preserve"> Any discipline for the underlying conduct follows Section 8.0.</w:t>
      </w:r>
    </w:p>
    <w:p>
      <w:pPr>
        <w:pStyle w:val="Heading1"/>
      </w:pPr>
      <w:r>
        <w:t xml:space="preserve">8.0 Violations and Disciplinary Action</w:t>
      </w:r>
    </w:p>
    <w:p>
      <w:r>
        <w:t xml:space="preserve">Anyone who violates this policy can face disciplinary action, up to and including termination of employment or contract, and legal action where applicable. The response to a violation will depend on its severity, its impact on the organization's security, and any legal or regulatory requirements.</w:t>
      </w:r>
    </w:p>
    <w:p>
      <w:pPr>
        <w:pStyle w:val="Heading1"/>
      </w:pPr>
      <w:r>
        <w:t xml:space="preserve">9.0 Related Policies and Standards</w:t>
      </w:r>
    </w:p>
    <w:p>
      <w:r>
        <w:t xml:space="preserve">This policy is a supporting policy of the Information Security Policy, the top-level document of the organization's information security policy set. This policy may set stricter rules; a stricter rule is not a conflict. If this policy contradicts the Information Security Policy, the Information Security Policy prevails.</w:t>
      </w:r>
    </w:p>
    <w:p>
      <w:r>
        <w:t xml:space="preserve">It works alongside these policies:</w:t>
      </w:r>
    </w:p>
    <w:p>
      <w:pPr>
        <w:pStyle w:val="ListBullet"/>
      </w:pPr>
      <w:r>
        <w:t xml:space="preserve">The Vulnerability Management Policy: routine patching may run as a standard change once its procedure is on the list, an out-of-band fix follows the standard route where its procedure covers it and the normal route otherwise, and urgent fixes use this policy's emergency route.</w:t>
      </w:r>
    </w:p>
    <w:p>
      <w:pPr>
        <w:pStyle w:val="ListBullet"/>
      </w:pPr>
      <w:r>
        <w:t xml:space="preserve">The Incident Response Policy: response actions during an incident follow it, with lasting changes recorded here afterward.</w:t>
      </w:r>
    </w:p>
    <w:p>
      <w:pPr>
        <w:pStyle w:val="ListBullet"/>
      </w:pPr>
      <w:r>
        <w:t xml:space="preserve">The Access Control Policy: access requests follow its process; changes to the system that grants and manages access follow this one.</w:t>
      </w:r>
    </w:p>
    <w:p>
      <w:pPr>
        <w:pStyle w:val="ListBullet"/>
      </w:pPr>
      <w:r>
        <w:t xml:space="preserve">The Business Continuity &amp; Disaster Recovery Plan: recovery follows its step-by-step procedures, and when an activation ends, the systems it rebuilt are recorded under this policy.</w:t>
      </w:r>
    </w:p>
    <w:p>
      <w:pPr>
        <w:pStyle w:val="ListBullet"/>
      </w:pPr>
      <w:r>
        <w:t xml:space="preserve">The Data Handling Policy: the classifications used to judge a change's risk, and the retention of change records.</w:t>
      </w:r>
    </w:p>
    <w:p>
      <w:pPr>
        <w:pStyle w:val="ListBullet"/>
      </w:pPr>
      <w:r>
        <w:t xml:space="preserve">The Encryption Policy: it sets the encryption methods and the key rules; changes to encryption settings, keys, and certificates run through this policy.</w:t>
      </w:r>
    </w:p>
    <w:p>
      <w:pPr>
        <w:pStyle w:val="ListBullet"/>
      </w:pPr>
      <w:r>
        <w:t xml:space="preserve">The Logging and Monitoring Policy: it requires logs of privileged actions and changes to security settings, where the platform supports it; those logs are where an unauthorized change is most likely to show up.</w:t>
      </w:r>
    </w:p>
    <w:p>
      <w:pPr>
        <w:pStyle w:val="ListBullet"/>
      </w:pPr>
      <w:r>
        <w:t xml:space="preserve">The Email Security Policy: changes to the organization's mail domain records and mail settings run through this policy.</w:t>
      </w:r>
    </w:p>
    <w:p>
      <w:pPr>
        <w:pStyle w:val="ListBullet"/>
      </w:pPr>
      <w:r>
        <w:t xml:space="preserve">The Vendor Risk Management Policy: a material change to a vendor's service is also a re-assessment trigger under it.</w:t>
      </w:r>
    </w:p>
    <w:p>
      <w:pPr>
        <w:pStyle w:val="ListBullet"/>
      </w:pPr>
      <w:r>
        <w:t xml:space="preserve">The Secure Development Policy: it sets what the code review covers and how software is built and tested; what it builds reaches production only through this policy.</w:t>
      </w:r>
    </w:p>
    <w:p>
      <w:pPr>
        <w:pStyle w:val="ListBullet"/>
      </w:pPr>
      <w:r>
        <w:t xml:space="preserve">The AI Acceptable Use Policy: it names who is accountable for what an approved AI tool does on its own, and that person is the maker of any change the tool makes.</w:t>
      </w:r>
    </w:p>
    <w:p>
      <w:pPr>
        <w:pStyle w:val="ListBullet"/>
      </w:pPr>
      <w:r>
        <w:t xml:space="preserve">The Remote Work &amp; Mobile Device Policy: the user devices outside this policy's scope.</w:t>
      </w:r>
    </w:p>
    <w:p>
      <w:r>
        <w:t xml:space="preserve">Where any of these does not exist yet, treat it as a roadmap item; the rules in this policy apply on their own regardless.</w:t>
      </w:r>
    </w:p>
    <w:p>
      <w:r>
        <w:t>At a policy level, these rules are how the organization controls planned changes and reviews the consequences of unintended ones, which clause 8.1 of ISO/IEC 27001:2022 requires. They put into practice control 8.32 of its Annex A (change management): changes to the organization's information systems and information processing facilities are subject to the procedures this policy defines. The environment separation rule in Section 3.3 supports control 8.31 (separation of development, test and production environments), and the rule in Section 3.2 that no one approves their own change carries control 5.3 (segregation of duties); the Secure Development Policy's environment rules secure that separation. They support the Identify, Protect, and Detect functions of the NIST Cybersecurity Framework 2.0, in particular its Risk Assessment (ID.RA), Platform Security (PR.PS), and Continuous Monitoring (DE.CM) categories.</w:t>
      </w:r>
    </w:p>
    <w:p>
      <w:pPr>
        <w:pStyle w:val="Heading1"/>
      </w:pPr>
      <w:r>
        <w:t xml:space="preserve">Appendix 1: Change Types</w:t>
      </w:r>
    </w:p>
    <w:p>
      <w:r>
        <w:t>The three change types, and the rule that the person who makes a change does not approve it (separation of duties), hold in every adoption, whatever values you set. Section 3.5's unreachable-approver rule is the one narrow exception.</w:t>
      </w:r>
    </w:p>
    <w:tbl>
      <w:tblPr>
        <w:tblStyle w:val="TableGrid"/>
        <w:tblW w:type="auto" w:w="0"/>
        <w:tblLook w:firstColumn="1" w:firstRow="1" w:lastColumn="0" w:lastRow="0" w:noHBand="0" w:noVBand="1" w:val="04A0"/>
      </w:tblPr>
      <w:tblGrid>
        <w:gridCol w:w="1800"/>
        <w:gridCol w:w="4320"/>
        <w:gridCol w:w="2340"/>
        <w:gridCol w:w="2340"/>
      </w:tblGrid>
      <w:tr>
        <w:trPr>
          <w:tblHeader/>
        </w:trPr>
        <w:tc>
          <w:tcPr>
            <w:tcW w:type="dxa" w:w="1800"/>
          </w:tcPr>
          <w:p>
            <w:r>
              <w:rPr>
                <w:b/>
              </w:rPr>
              <w:t xml:space="preserve">Type</w:t>
            </w:r>
          </w:p>
        </w:tc>
        <w:tc>
          <w:tcPr>
            <w:tcW w:type="dxa" w:w="4320"/>
          </w:tcPr>
          <w:p>
            <w:r>
              <w:rPr>
                <w:b/>
              </w:rPr>
              <w:t xml:space="preserve">What it is</w:t>
            </w:r>
          </w:p>
        </w:tc>
        <w:tc>
          <w:tcPr>
            <w:tcW w:type="dxa" w:w="2340"/>
          </w:tcPr>
          <w:p>
            <w:r>
              <w:rPr>
                <w:b/>
              </w:rPr>
              <w:t xml:space="preserve">Approval</w:t>
            </w:r>
          </w:p>
        </w:tc>
        <w:tc>
          <w:tcPr>
            <w:tcW w:type="dxa" w:w="2340"/>
          </w:tcPr>
          <w:p>
            <w:r>
              <w:rPr>
                <w:b/>
              </w:rPr>
              <w:t xml:space="preserve">Record</w:t>
            </w:r>
          </w:p>
        </w:tc>
      </w:tr>
      <w:tr>
        <w:tc>
          <w:tcPr>
            <w:tcW w:type="dxa" w:w="1800"/>
          </w:tcPr>
          <w:p>
            <w:r>
              <w:t xml:space="preserve">Standard</w:t>
            </w:r>
          </w:p>
        </w:tc>
        <w:tc>
          <w:tcPr>
            <w:tcW w:type="dxa" w:w="4320"/>
          </w:tcPr>
          <w:p>
            <w:r>
              <w:t xml:space="preserve">A low-risk, repeatable change run from a documented procedure on the standard change list (routine automated patching, security-tool definition updates, a like-for-like hardware swap)</w:t>
            </w:r>
          </w:p>
        </w:tc>
        <w:tc>
          <w:tcPr>
            <w:tcW w:type="dxa" w:w="2340"/>
          </w:tcPr>
          <w:p>
            <w:r>
              <w:t xml:space="preserve">Pre-approved by being on the list (Section 3.1)</w:t>
            </w:r>
          </w:p>
        </w:tc>
        <w:tc>
          <w:tcPr>
            <w:tcW w:type="dxa" w:w="2340"/>
          </w:tcPr>
          <w:p>
            <w:r>
              <w:t xml:space="preserve">A log entry: what changed, on which system, when, who or what ran it, which procedure they followed, and whether it worked</w:t>
            </w:r>
          </w:p>
        </w:tc>
      </w:tr>
      <w:tr>
        <w:tc>
          <w:tcPr>
            <w:tcW w:type="dxa" w:w="1800"/>
          </w:tcPr>
          <w:p>
            <w:r>
              <w:t xml:space="preserve">Normal</w:t>
            </w:r>
          </w:p>
        </w:tc>
        <w:tc>
          <w:tcPr>
            <w:tcW w:type="dxa" w:w="4320"/>
          </w:tcPr>
          <w:p>
            <w:r>
              <w:t xml:space="preserve">Any change that is neither standard nor an emergency</w:t>
            </w:r>
          </w:p>
        </w:tc>
        <w:tc>
          <w:tcPr>
            <w:tcW w:type="dxa" w:w="2340"/>
          </w:tcPr>
          <w:p>
            <w:r>
              <w:t xml:space="preserve">The change approver before the change (or the pipeline reviewer, Section 3.2); Executive Management where business risk is significant</w:t>
            </w:r>
          </w:p>
        </w:tc>
        <w:tc>
          <w:tcPr>
            <w:tcW w:type="dxa" w:w="2340"/>
          </w:tcPr>
          <w:p>
            <w:r>
              <w:t xml:space="preserve">A full change record, started before approval and closed after the change</w:t>
            </w:r>
          </w:p>
        </w:tc>
      </w:tr>
      <w:tr>
        <w:tc>
          <w:tcPr>
            <w:tcW w:type="dxa" w:w="1800"/>
          </w:tcPr>
          <w:p>
            <w:r>
              <w:t xml:space="preserve">Emergency</w:t>
            </w:r>
          </w:p>
        </w:tc>
        <w:tc>
          <w:tcPr>
            <w:tcW w:type="dxa" w:w="4320"/>
          </w:tcPr>
          <w:p>
            <w:r>
              <w:t xml:space="preserve">A change that cannot wait for its normal route: an outage, a Critical or actively exploited vulnerability, a fix that incident response needs now, a fix that must run during a change freeze, or a release the Secure Development Policy's release gate holds</w:t>
            </w:r>
          </w:p>
        </w:tc>
        <w:tc>
          <w:tcPr>
            <w:tcW w:type="dxa" w:w="2340"/>
          </w:tcPr>
          <w:p>
            <w:r>
              <w:t xml:space="preserve">Verbal or message approval from the change approver or the Information Security Lead; reviewed at the next operations review (Section 3.5)</w:t>
            </w:r>
          </w:p>
        </w:tc>
        <w:tc>
          <w:tcPr>
            <w:tcW w:type="dxa" w:w="2340"/>
          </w:tcPr>
          <w:p>
            <w:r>
              <w:t xml:space="preserve">A full change record, completed within the window Section 3.5 sets</w:t>
            </w:r>
          </w:p>
        </w:tc>
      </w:tr>
    </w:tbl>
    <w:p>
      <w:pPr>
        <w:spacing w:before="0" w:after="0" w:line="20" w:lineRule="exact"/>
        <w:rPr>
          <w:sz w:val="4"/>
          <w:szCs w:val="4"/>
        </w:rPr>
      </w:pPr>
    </w:p>
    <w:sectPr w:rsidR="00FC693F" w:rsidRPr="0006063C" w:rsidSect="00034616">
      <w:footerReference w:type="default" r:id="rId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val="clear" w:pos="4680"/>
        <w:tab w:val="clear" w:pos="9360"/>
        <w:tab w:val="right" w:pos="10800"/>
      </w:tabs>
    </w:pPr>
    <w:r>
      <w:rPr>
        <w:color w:val="3A475C"/>
        <w:sz w:val="18"/>
      </w:rPr>
      <w:t xml:space="preserve">©2026 anoBytes Technology Solutions LLC | anobytes.com</w:t>
    </w:r>
    <w:r>
      <w:rPr>
        <w:color w:val="3A475C"/>
        <w:sz w:val="18"/>
      </w:rPr>
      <w:tab/>
    </w:r>
    <w:r>
      <w:rPr>
        <w:color w:val="3A475C"/>
        <w:sz w:val="18"/>
      </w:rPr>
      <w:t xml:space="preserve">Change Management Policy | Page </w:t>
    </w:r>
    <w:r>
      <w:rPr>
        <w:color w:val="3A475C"/>
        <w:sz w:val="18"/>
      </w:rPr>
      <w:fldChar w:fldCharType="begin"/>
    </w:r>
    <w:r>
      <w:rPr>
        <w:color w:val="3A475C"/>
        <w:sz w:val="18"/>
      </w:rPr>
      <w:instrText xml:space="preserve"> PAGE </w:instrText>
    </w:r>
    <w:r>
      <w:rPr>
        <w:color w:val="3A475C"/>
        <w:sz w:val="18"/>
      </w:rPr>
      <w:fldChar w:fldCharType="separate"/>
    </w:r>
    <w:r>
      <w:rPr>
        <w:color w:val="3A475C"/>
        <w:sz w:val="18"/>
      </w:rPr>
      <w:t>1</w:t>
    </w:r>
    <w:r>
      <w:rPr>
        <w:color w:val="3A475C"/>
        <w:sz w:val="18"/>
      </w:rPr>
      <w:fldChar w:fldCharType="end"/>
    </w:r>
    <w:r>
      <w:rPr>
        <w:color w:val="3A475C"/>
        <w:sz w:val="18"/>
      </w:rPr>
      <w:t xml:space="preserve"> of </w:t>
    </w:r>
    <w:r>
      <w:rPr>
        <w:color w:val="3A475C"/>
        <w:sz w:val="18"/>
      </w:rPr>
      <w:fldChar w:fldCharType="begin"/>
    </w:r>
    <w:r>
      <w:rPr>
        <w:color w:val="3A475C"/>
        <w:sz w:val="18"/>
      </w:rPr>
      <w:instrText xml:space="preserve"> NUMPAGES </w:instrText>
    </w:r>
    <w:r>
      <w:rPr>
        <w:color w:val="3A475C"/>
        <w:sz w:val="18"/>
      </w:rPr>
      <w:fldChar w:fldCharType="separate"/>
    </w:r>
    <w:r>
      <w:rPr>
        <w:color w:val="3A475C"/>
        <w:sz w:val="18"/>
      </w:rPr>
      <w:t>6</w:t>
    </w:r>
    <w:r>
      <w:rPr>
        <w:color w:val="3A475C"/>
        <w:sz w:val="18"/>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720"/>
        </w:tabs>
        <w:ind w:left="72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Arial" w:hAnsi="Arial" w:cs="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s="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eastAsiaTheme="majorEastAsia" w:ascii="Arial" w:hAnsi="Arial" w:cs="Arial"/>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eastAsiaTheme="majorEastAsia" w:ascii="Arial" w:hAnsi="Arial" w:cs="Arial"/>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eastAsiaTheme="majorEastAsia" w:ascii="Arial" w:hAnsi="Arial" w:cs="Arial"/>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rPr>
      <w:rFonts w:ascii="Arial" w:hAnsi="Arial" w:cs="Arial"/>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3072</Words>
  <Characters>16711</Characters>
  <DocSecurity>0</DocSecurity>
  <Lines>179</Lines>
  <Paragraphs>142</Paragraphs>
  <ScaleCrop>false</ScaleCrop>
  <HeadingPairs>
    <vt:vector size="2" baseType="variant">
      <vt:variant>
        <vt:lpstr>Title</vt:lpstr>
      </vt:variant>
      <vt:variant>
        <vt:i4>1</vt:i4>
      </vt:variant>
    </vt:vector>
  </HeadingPairs>
  <TitlesOfParts>
    <vt:vector size="1" baseType="lpstr">
      <vt:lpstr>Change Management Policy</vt:lpstr>
    </vt:vector>
  </TitlesOfParts>
  <Manager/>
  <Company>anoBytes Technology Solutions LLC</Company>
  <LinksUpToDate>false</LinksUpToDate>
  <CharactersWithSpaces>19783</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dc:title>Change Management Policy</dc:title>
  <dc:subject>Change management policy template</dc:subject>
  <dc:creator>Nelson Pereira, anoBytes Technology Solutions LLC</dc:creator>
  <cp:keywords>standard changes, standard change list, normal change, emergency change, change approver, change record, change freeze, maintenance windows, merge request, unauthorized change, operations review, vendor change notices, system owner, routine automated patching, rollback plan, separation of duties, segregation of duties, test environment, pilot group, snapshot, important system, pipeline, production systems, downtime, release</cp:keywords>
  <dc:description>How a change gets requested, reviewed, and released, including who approves one that weakens a protection and what happens when an emergency fix goes in first.</dc:description>
  <cp:lastModifiedBy/>
  <cp:revision>1</cp:revision>
  <dcterms:created xsi:type="dcterms:W3CDTF">2026-07-17T00:00:00Z</dcterms:created>
  <dcterms:modified xsi:type="dcterms:W3CDTF">2026-09-10T00:00:00Z</dcterms:modified>
  <cp:category>Template</cp:category>
</cp:coreProperties>
</file>