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Email Security Policy</w:t>
      </w:r>
    </w:p>
    <w:p>
      <w:pPr>
        <w:pStyle w:val="Heading1"/>
        <w:spacing w:before="0" w:after="80"/>
      </w:pPr>
      <w:r>
        <w:rPr>
          <w:color w:val="auto"/>
          <w:sz w:val="20"/>
          <w:szCs w:val="20"/>
        </w:rPr>
        <w:t xml:space="preserve">Document Control</w:t>
      </w:r>
    </w:p>
    <w:tbl>
      <w:tblPr>
        <w:tblStyle w:val="TableGrid"/>
        <w:tblW w:type="auto" w:w="0"/>
        <w:tblLook w:firstColumn="1" w:firstRow="1" w:lastColumn="0" w:lastRow="0" w:noHBand="0" w:noVBand="1" w:val="04A0"/>
      </w:tblPr>
      <w:tblGrid>
        <w:gridCol w:w="3600"/>
        <w:gridCol w:w="7200"/>
      </w:tblGrid>
      <w:tr>
        <w:tc>
          <w:tcPr>
            <w:tcW w:type="dxa" w:w="3600"/>
          </w:tcPr>
          <w:p>
            <w:r>
              <w:rPr>
                <w:b/>
              </w:rPr>
              <w:t xml:space="preserve">Document title</w:t>
            </w:r>
          </w:p>
        </w:tc>
        <w:tc>
          <w:tcPr>
            <w:tcW w:type="dxa" w:w="7200"/>
          </w:tcPr>
          <w:p>
            <w:r>
              <w:t xml:space="preserve">Email Security Policy</w:t>
            </w:r>
          </w:p>
        </w:tc>
      </w:tr>
      <w:tr>
        <w:tc>
          <w:tcPr>
            <w:tcW w:type="dxa" w:w="3600"/>
          </w:tcPr>
          <w:p>
            <w:r>
              <w:rPr>
                <w:b/>
              </w:rPr>
              <w:t xml:space="preserve">Version</w:t>
            </w:r>
          </w:p>
        </w:tc>
        <w:tc>
          <w:tcPr>
            <w:tcW w:type="dxa" w:w="7200"/>
          </w:tcPr>
          <w:p>
            <w:r>
              <w:t xml:space="preserve">1.0</w:t>
            </w:r>
          </w:p>
        </w:tc>
      </w:tr>
      <w:tr>
        <w:tc>
          <w:tcPr>
            <w:tcW w:type="dxa" w:w="3600"/>
          </w:tcPr>
          <w:p>
            <w:r>
              <w:rPr>
                <w:b/>
              </w:rPr>
              <w:t xml:space="preserve">Document owner</w:t>
            </w:r>
          </w:p>
        </w:tc>
        <w:tc>
          <w:tcPr>
            <w:tcW w:type="dxa" w:w="7200"/>
          </w:tcPr>
          <w:p>
            <w:r>
              <w:t xml:space="preserve">Information Security Lead</w:t>
            </w:r>
          </w:p>
        </w:tc>
      </w:tr>
      <w:tr>
        <w:tc>
          <w:tcPr>
            <w:tcW w:type="dxa" w:w="3600"/>
          </w:tcPr>
          <w:p>
            <w:r>
              <w:rPr>
                <w:b/>
              </w:rPr>
              <w:t xml:space="preserve">Approved by</w:t>
            </w:r>
          </w:p>
        </w:tc>
        <w:tc>
          <w:tcPr>
            <w:tcW w:type="dxa" w:w="7200"/>
          </w:tcPr>
          <w:p>
            <w:r>
              <w:rPr>
                <w:highlight w:val="yellow"/>
              </w:rPr>
              <w:t xml:space="preserve">[Name and title, e.g., Chief Executive Officer]</w:t>
            </w:r>
          </w:p>
        </w:tc>
      </w:tr>
      <w:tr>
        <w:tc>
          <w:tcPr>
            <w:tcW w:type="dxa" w:w="3600"/>
          </w:tcPr>
          <w:p>
            <w:r>
              <w:rPr>
                <w:b/>
              </w:rPr>
              <w:t xml:space="preserve">Effective date</w:t>
            </w:r>
          </w:p>
        </w:tc>
        <w:tc>
          <w:tcPr>
            <w:tcW w:type="dxa" w:w="7200"/>
          </w:tcPr>
          <w:p>
            <w:r>
              <w:rPr>
                <w:highlight w:val="yellow"/>
              </w:rPr>
              <w:t xml:space="preserve">[Date]</w:t>
            </w:r>
          </w:p>
        </w:tc>
      </w:tr>
      <w:tr>
        <w:tc>
          <w:tcPr>
            <w:tcW w:type="dxa" w:w="3600"/>
          </w:tcPr>
          <w:p>
            <w:r>
              <w:rPr>
                <w:b/>
              </w:rPr>
              <w:t xml:space="preserve">Next review date</w:t>
            </w:r>
          </w:p>
        </w:tc>
        <w:tc>
          <w:tcPr>
            <w:tcW w:type="dxa" w:w="7200"/>
          </w:tcPr>
          <w:p>
            <w:r>
              <w:rPr>
                <w:highlight w:val="yellow"/>
              </w:rPr>
              <w:t xml:space="preserve">[Date, no later than one year after the effective date]</w:t>
            </w:r>
          </w:p>
        </w:tc>
      </w:tr>
      <w:tr>
        <w:tc>
          <w:tcPr>
            <w:tcW w:type="dxa" w:w="3600"/>
          </w:tcPr>
          <w:p>
            <w:r>
              <w:rPr>
                <w:b/>
              </w:rPr>
              <w:t xml:space="preserve">Classification</w:t>
            </w:r>
          </w:p>
        </w:tc>
        <w:tc>
          <w:tcPr>
            <w:tcW w:type="dxa" w:w="7200"/>
          </w:tcPr>
          <w:p>
            <w:r>
              <w:rPr>
                <w:highlight w:val="yellow"/>
              </w:rPr>
              <w:t xml:space="preserve">[e.g., Internal (shareable with customers and auditors on request)]</w:t>
            </w:r>
          </w:p>
        </w:tc>
      </w:tr>
    </w:tbl>
    <w:p/>
    <w:p>
      <w:pPr>
        <w:pStyle w:val="Heading1"/>
        <w:spacing w:before="0" w:after="80"/>
      </w:pPr>
      <w:r>
        <w:rPr>
          <w:color w:val="auto"/>
          <w:sz w:val="20"/>
          <w:szCs w:val="20"/>
        </w:rPr>
        <w:t xml:space="preserve">Revision History</w:t>
      </w:r>
    </w:p>
    <w:tbl>
      <w:tblPr>
        <w:tblStyle w:val="TableGrid"/>
        <w:tblW w:type="auto" w:w="0"/>
        <w:tblLook w:firstColumn="1" w:firstRow="1" w:lastColumn="0" w:lastRow="0" w:noHBand="0" w:noVBand="1" w:val="04A0"/>
      </w:tblPr>
      <w:tblGrid>
        <w:gridCol w:w="1800"/>
        <w:gridCol w:w="2400"/>
        <w:gridCol w:w="6600"/>
      </w:tblGrid>
      <w:tr>
        <w:trPr>
          <w:tblHeader/>
        </w:trPr>
        <w:tc>
          <w:tcPr>
            <w:tcW w:type="dxa" w:w="1800"/>
          </w:tcPr>
          <w:p>
            <w:r>
              <w:rPr>
                <w:b/>
              </w:rPr>
              <w:t xml:space="preserve">Version</w:t>
            </w:r>
          </w:p>
        </w:tc>
        <w:tc>
          <w:tcPr>
            <w:tcW w:type="dxa" w:w="2400"/>
          </w:tcPr>
          <w:p>
            <w:r>
              <w:rPr>
                <w:b/>
              </w:rPr>
              <w:t xml:space="preserve">Date</w:t>
            </w:r>
          </w:p>
        </w:tc>
        <w:tc>
          <w:tcPr>
            <w:tcW w:type="dxa" w:w="6600"/>
          </w:tcPr>
          <w:p>
            <w:r>
              <w:rPr>
                <w:b/>
              </w:rPr>
              <w:t xml:space="preserve">Summary of changes</w:t>
            </w:r>
          </w:p>
        </w:tc>
      </w:tr>
      <w:tr>
        <w:tc>
          <w:tcPr>
            <w:tcW w:type="dxa" w:w="1800"/>
          </w:tcPr>
          <w:p>
            <w:r>
              <w:t xml:space="preserve">1.0</w:t>
            </w:r>
          </w:p>
        </w:tc>
        <w:tc>
          <w:tcPr>
            <w:tcW w:type="dxa" w:w="2400"/>
          </w:tcPr>
          <w:p>
            <w:r>
              <w:rPr>
                <w:highlight w:val="yellow"/>
              </w:rPr>
              <w:t xml:space="preserve">[Date]</w:t>
            </w:r>
          </w:p>
        </w:tc>
        <w:tc>
          <w:tcPr>
            <w:tcW w:type="dxa" w:w="6600"/>
          </w:tcPr>
          <w:p>
            <w:r>
              <w:t xml:space="preserve">Initial version.</w:t>
            </w:r>
          </w:p>
        </w:tc>
      </w:tr>
    </w:tbl>
    <w:p/>
    <w:p>
      <w:pPr>
        <w:pStyle w:val="Heading1"/>
      </w:pPr>
      <w:r>
        <w:t xml:space="preserve">1.0 Purpose</w:t>
      </w:r>
    </w:p>
    <w:p>
      <w:r>
        <w:t xml:space="preserve">This policy sets how </w:t>
      </w:r>
      <w:r>
        <w:rPr>
          <w:highlight w:val="yellow"/>
        </w:rPr>
        <w:t xml:space="preserve">[Company Name]</w:t>
      </w:r>
      <w:r>
        <w:t xml:space="preserve"> ("the organization") secures its email: making its domains hard to impersonate, filtering what arrives, protecting the mailboxes themselves, and watching what the mail system reports.</w:t>
      </w:r>
    </w:p>
    <w:p>
      <w:r>
        <w:t xml:space="preserve">This policy is a supporting policy of the organization's Information Security Policy and covers the organization-side controls. The personal duties (spotting phishing, verifying payment-detail changes) stay in the Acceptable Use Policy. At a policy level, these rules put into practice the relevant controls of ISO/IEC 27001:2022 Annex A and the corresponding outcomes of the NIST Cybersecurity Framework (CSF) 2.0 (see Section 9.0).</w:t>
      </w:r>
    </w:p>
    <w:p>
      <w:pPr>
        <w:pStyle w:val="Heading1"/>
      </w:pPr>
      <w:r>
        <w:t xml:space="preserve">2.0 Scope</w:t>
      </w:r>
    </w:p>
    <w:p>
      <w:r>
        <w:t xml:space="preserve">This policy applies to every domain the organization owns, whether it sends mail or not, and to every mailbox and mail service the organization operates or subscribes to. It governs domain authentication, inbound filtering, mailbox protections, and the monitoring of mail-security events. Where the organization runs its own mail server rather than subscribing to a provider, the requirements below that name the email provider apply to the equivalent settings on that server.</w:t>
      </w:r>
    </w:p>
    <w:p>
      <w:r>
        <w:t xml:space="preserve">The email provider is a vendor under the Vendor Risk Management Policy, and encryption of mail in transit follows the Encryption Policy. What may be sent by email at each classification, and how long mail is kept, follow the Data Handling Policy. Mailbox sign-in follows the Access Control Policy.</w:t>
      </w:r>
    </w:p>
    <w:p>
      <w:pPr>
        <w:pStyle w:val="Heading1"/>
      </w:pPr>
      <w:r>
        <w:t xml:space="preserve">3.0 Policy Statements</w:t>
      </w:r>
    </w:p>
    <w:p>
      <w:r>
        <w:t xml:space="preserve">Throughout this policy, a statement of what the organization or its people do ("is encrypted", "are recorded") is a requirement. So are "must", "shall", and direct instructions such as "use only" or "never". The words "may" and "is acceptable" mark a permission. Where a requirement needs a planned deviation, Section 6.0 describes how to request an exception. Text in square brackets marks a decision to make when adopting this policy: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p>
      <w:pPr>
        <w:pStyle w:val="Heading2"/>
      </w:pPr>
      <w:r>
        <w:t xml:space="preserve">3.1 Domain Authentication</w:t>
      </w:r>
    </w:p>
    <w:p>
      <w:pPr>
        <w:pStyle w:val="ListBullet"/>
      </w:pPr>
      <w:r>
        <w:t xml:space="preserve">Every domain the organization sends mail from publishes three records that receiving servers check: SPF (Sender Policy Framework: the published list of servers allowed to send for the domain), DKIM (DomainKeys Identified Mail: a signature that proves a message left an authorized server unaltered), and DMARC (Domain-based Message Authentication, Reporting, and Conformance: the published instruction telling receivers what to do when those checks fail, and where to send reports). DMARC adds the check that ties the other two to what the reader sees: it passes only when the domain that passed SPF or DKIM is the same domain shown in the From address. A message can pass SPF or DKIM and still fail DMARC. Together the three records make spoofing the organization's domains fail at a receiving server that checks them. Receivers decide their own handling, so a reject instruction is a request rather than a guarantee.</w:t>
      </w:r>
    </w:p>
    <w:p>
      <w:pPr>
        <w:pStyle w:val="ListBullet"/>
      </w:pPr>
      <w:r>
        <w:t xml:space="preserve">The organization publishes DMARC in monitoring mode first, then tightens the instruction as the reports from receiving servers show legitimate mail passing DMARC, reaching </w:t>
      </w:r>
      <w:r>
        <w:rPr>
          <w:highlight w:val="yellow"/>
        </w:rPr>
        <w:t xml:space="preserve">[quarantine within 3 months, and reject within 6 months]</w:t>
      </w:r>
      <w:r>
        <w:t xml:space="preserve"> of adoption. Where the reports still show legitimate mail failing when the instruction is due to tighten, the organization records an exception under Section 6.0 and sets a new date.</w:t>
      </w:r>
    </w:p>
    <w:p>
      <w:pPr>
        <w:pStyle w:val="ListBullet"/>
      </w:pPr>
      <w:r>
        <w:t xml:space="preserve">The organization requests the aggregate reports, which count messages and name the servers that sent them. It does not request the per-message failure reports, which can carry header fields and message content from mail that failed the check. </w:t>
      </w:r>
      <w:r>
        <w:rPr>
          <w:highlight w:val="yellow"/>
        </w:rPr>
        <w:t xml:space="preserve">[The Information Security Lead may approve them for a named diagnosis and a stated period.]</w:t>
      </w:r>
      <w:r>
        <w:t xml:space="preserve"> The reports go to </w:t>
      </w:r>
      <w:r>
        <w:rPr>
          <w:highlight w:val="yellow"/>
        </w:rPr>
        <w:t xml:space="preserve">[a monitored mailbox or reporting service]</w:t>
      </w:r>
      <w:r>
        <w:t xml:space="preserve"> and are reviewed </w:t>
      </w:r>
      <w:r>
        <w:rPr>
          <w:highlight w:val="yellow"/>
        </w:rPr>
        <w:t xml:space="preserve">[weekly while the instruction is being tightened, monthly after that]</w:t>
      </w:r>
      <w:r>
        <w:t xml:space="preserve">. Where a reporting service receives them, it is a vendor under the Vendor Risk Management Policy, and where the reports go to an address at another domain, that domain publishes the record confirming it agreed to receive them, or the reports are never sent.</w:t>
      </w:r>
    </w:p>
    <w:p>
      <w:pPr>
        <w:pStyle w:val="ListBullet"/>
      </w:pPr>
      <w:r>
        <w:t xml:space="preserve">Before tightening the instruction, the organization lists every service that sends mail using its domains (its third-party senders), including invoicing, payroll, marketing, helpdesk, and monitoring tools. Appendix 1 records the list. Each service signs with its own DKIM key before the instruction reaches reject: a message that is forwarded or relayed arrives from someone else's server and fails SPF, while its DKIM signature still verifies. Where a service cannot sign as the organization's domain, it sends from a subdomain that carries its own DMARC record, and Appendix 1 records that.</w:t>
      </w:r>
    </w:p>
    <w:p>
      <w:pPr>
        <w:pStyle w:val="ListBullet"/>
      </w:pPr>
      <w:r>
        <w:t xml:space="preserve">The organization may authorize a service in SPF as well, which helps while the instruction is at monitoring or quarantine. Each authorization uses part of a fixed budget: checking an SPF record may use at most 10 DNS lookups, and the 11th returns a permanent error, so mail starts failing. Each domain publishes exactly one SPF record, and with DMARC in place that record ends in a soft fail (~all): a receiver may act on a hard fail (-all) before it evaluates DMARC, and reject mail that a DKIM signature would have carried.</w:t>
      </w:r>
    </w:p>
    <w:p>
      <w:pPr>
        <w:pStyle w:val="ListBullet"/>
      </w:pPr>
      <w:r>
        <w:t xml:space="preserve">Where people send mail from these domains to public mailing lists, run monitoring for at least a month and quarantine for at least a month, then decide whether to go to reject. List software often unsubscribes people whose domain publishes a reject instruction, so a domain whose users post to public lists is usually left at quarantine. </w:t>
      </w:r>
      <w:r>
        <w:rPr>
          <w:highlight w:val="yellow"/>
        </w:rPr>
        <w:t xml:space="preserve">[Where the organization sets reject anyway, it either stops people posting to public lists from these domains or tells them their list mail may not arrive.]</w:t>
      </w:r>
    </w:p>
    <w:p>
      <w:pPr>
        <w:pStyle w:val="ListBullet"/>
      </w:pPr>
      <w:r>
        <w:t xml:space="preserve">Domains that send no mail publish an SPF record authorizing no senders and a DMARC record set to reject. A domain that receives no mail also publishes a null MX record (the domain record that tells senders it accepts no mail). Without these records, anyone can send mail that appears to come from a parked domain.</w:t>
      </w:r>
    </w:p>
    <w:p>
      <w:pPr>
        <w:pStyle w:val="ListBullet"/>
      </w:pPr>
      <w:r>
        <w:t xml:space="preserve">On a domain that does send mail, one DMARC record covers its subdomains too. Its subdomain policy (the sp tag) covers every existing subdomain that has no DMARC record of its own, so set it to reject once each sending subdomain has its own record or has been retired. Its non-existent-subdomain policy (the np tag) covers the names an attacker invents, and it is set to reject. Delegations to a DNS or hosting provider the organization no longer uses are removed, because a subdomain that still resolves is outside the reach of the np tag, and whoever controls the delegation can publish a DMARC record that overrides the sp setting.</w:t>
      </w:r>
    </w:p>
    <w:p>
      <w:pPr>
        <w:pStyle w:val="ListBullet"/>
      </w:pPr>
      <w:r>
        <w:t xml:space="preserve">Where the organization can host the policy file, it also publishes an MTA-STS policy (Mail Transfer Agent Strict Transport Security: the published instruction that mail sent to the organization's domains must travel over an encrypted, verified connection). Publishing one takes a DNS record and a policy file served over HTTPS from a host named for the domain, so it needs web hosting as well as the mail service. The policy starts in testing mode and moves to enforce once the reports show no legitimate sender failing.</w:t>
      </w:r>
    </w:p>
    <w:p>
      <w:pPr>
        <w:pStyle w:val="ListBullet"/>
      </w:pPr>
      <w:r>
        <w:t xml:space="preserve">The organization also turns on TLS reporting (TLS-RPT), so other people's mail servers report how many encrypted connections to the organization succeeded and how many failed, and security operations reviews those reports with this section's authentication reports. MTA-STS and TLS-RPT protect mail arriving at the organization. For mail the organization sends, the transport encryption the Encryption Policy requires depends on the email provider acting on the same kind of records published by the domains it sends to.</w:t>
      </w:r>
    </w:p>
    <w:p>
      <w:pPr>
        <w:pStyle w:val="ListBullet"/>
      </w:pPr>
      <w:r>
        <w:rPr>
          <w:highlight w:val="yellow"/>
        </w:rPr>
        <w:t xml:space="preserve">[Where the organization's DNS is signed with DNSSEC and the email provider supports it, DANE (DNS-based Authentication of Named Entities) asks senders for the same protection as MTA-STS and may be published instead of it or alongside it. Providers differ: some publish the records for you once the domain is signed, and others offer nothing for mail they receive, so check what yours does before planning for it.]</w:t>
      </w:r>
    </w:p>
    <w:p>
      <w:pPr>
        <w:pStyle w:val="ListBullet"/>
      </w:pPr>
      <w:r>
        <w:t xml:space="preserve">The DKIM signing keys are recorded in the key and certificate inventory the Encryption Policy keeps, and the organization rotates them (moves to a new key) under that policy.</w:t>
      </w:r>
    </w:p>
    <w:p>
      <w:pPr>
        <w:pStyle w:val="ListBullet"/>
      </w:pPr>
      <w:r>
        <w:t xml:space="preserve">The accounts that can change these records, at the domain registrar and at the DNS provider, are privileged accounts under the Access Control Policy: they carry multi-factor authentication (MFA: a second sign-in step) and belong to named people. Whoever holds them keeps the registrar's transfer lock on and renews the registration before it lapses. Anyone who takes one of these accounts can rewrite every record in this section and redirect the organization's incoming mail.</w:t>
      </w:r>
    </w:p>
    <w:p>
      <w:pPr>
        <w:pStyle w:val="ListBullet"/>
      </w:pPr>
      <w:r>
        <w:t xml:space="preserve">Changes to the domain records behind this section follow the Change Management Policy.</w:t>
      </w:r>
    </w:p>
    <w:p>
      <w:pPr>
        <w:pStyle w:val="Heading2"/>
      </w:pPr>
      <w:r>
        <w:t xml:space="preserve">3.2 Inbound Filtering</w:t>
      </w:r>
    </w:p>
    <w:p>
      <w:pPr>
        <w:pStyle w:val="ListBullet"/>
      </w:pPr>
      <w:r>
        <w:t xml:space="preserve">The organization turns on the email provider's filtering and keeps it at </w:t>
      </w:r>
      <w:r>
        <w:rPr>
          <w:highlight w:val="yellow"/>
        </w:rPr>
        <w:t xml:space="preserve">[the provider's standard protection level or stronger]</w:t>
      </w:r>
      <w:r>
        <w:t xml:space="preserve">: spam and phishing filtering, malware scanning of attachments, and link checking where the provider offers it.</w:t>
      </w:r>
    </w:p>
    <w:p>
      <w:pPr>
        <w:pStyle w:val="ListBullet"/>
      </w:pPr>
      <w:r>
        <w:t xml:space="preserve">Attachment types with no business use are blocked, starting with </w:t>
      </w:r>
      <w:r>
        <w:rPr>
          <w:highlight w:val="yellow"/>
        </w:rPr>
        <w:t xml:space="preserve">[executable and script attachments, and macro-enabled documents from outside]</w:t>
      </w:r>
      <w:r>
        <w:t xml:space="preserve">. Security operations, with IT, reviews the quarantine. Only security operations releases a quarantined message, and only after checking it.</w:t>
      </w:r>
    </w:p>
    <w:p>
      <w:pPr>
        <w:pStyle w:val="ListBullet"/>
      </w:pPr>
      <w:r>
        <w:t xml:space="preserve">Mail from outside the organization carries a tag saying so, where the provider supports it, so anyone reading it can see that it did not come from a colleague. Impersonation protections for the organization's own names and domains (lookalike and display-name checks) are turned on where offered. </w:t>
      </w:r>
      <w:r>
        <w:rPr>
          <w:highlight w:val="yellow"/>
        </w:rPr>
        <w:t xml:space="preserve">[The organization also watches for new registrations of names close to its own. The impersonation protections above defend its own inboxes, while a look-alike domain is usually aimed at its customers, whose mail the organization does not filter.]</w:t>
      </w:r>
      <w:r>
        <w:t xml:space="preserve"> The tag and these protections reduce business email compromise (BEC: fraud run through a compromised or impersonated business email account to have money sent or payment details changed). Filtering alone does not stop it: mail sent from a genuinely compromised account passes every check in Section 3.1. The verification duty in the Acceptable Use Policy catches what the technical controls cannot.</w:t>
      </w:r>
    </w:p>
    <w:p>
      <w:pPr>
        <w:pStyle w:val="Heading2"/>
      </w:pPr>
      <w:r>
        <w:t xml:space="preserve">3.3 Mailbox Protections</w:t>
      </w:r>
    </w:p>
    <w:p>
      <w:pPr>
        <w:pStyle w:val="ListBullet"/>
      </w:pPr>
      <w:r>
        <w:t xml:space="preserve">People sign in to their mailboxes under the Access Control Policy, with multi-factor authentication as that policy requires; a shared mailbox is reached through each person's own account rather than a shared password. The older mail protocols and app passwords that let a client sign in without the second step are turned off on the mail service, under that policy's rule on paths that bypass multi-factor authentication.</w:t>
      </w:r>
    </w:p>
    <w:p>
      <w:pPr>
        <w:pStyle w:val="ListBullet"/>
      </w:pPr>
      <w:r>
        <w:t xml:space="preserve">Mail is read through the provider's web interface or through a mail client the vendor still updates, kept current under the Remote Work &amp; Mobile Device Policy. Add-ins and extensions in the mail client are allowed only where they appear on the approved list the Acceptable Use Policy keeps, and an unapproved one is removed.</w:t>
      </w:r>
    </w:p>
    <w:p>
      <w:pPr>
        <w:pStyle w:val="ListBullet"/>
      </w:pPr>
      <w:r>
        <w:t xml:space="preserve">Automatic forwarding to outside addresses is blocked. Where blocking is not practical, the mail system alerts security operations whenever someone sets up a forward. Attackers who get into a mailbox often set a forwarding rule to copy the mail out, and that rule keeps sending after the password is changed. Existing rules are reviewed at adoption, and whenever a mailbox is investigated.</w:t>
      </w:r>
    </w:p>
    <w:p>
      <w:pPr>
        <w:pStyle w:val="ListBullet"/>
      </w:pPr>
      <w:r>
        <w:t xml:space="preserve">Delegate access (one person reading or sending for another's mailbox) is granted and reviewed under the Access Control Policy.</w:t>
      </w:r>
    </w:p>
    <w:p>
      <w:pPr>
        <w:pStyle w:val="ListBullet"/>
      </w:pPr>
      <w:r>
        <w:t xml:space="preserve">An outside application that reads or sends mail holds its own access to the mailbox, so changing the password does not remove it. These applications are approved and reviewed under the Access Control Policy, and the applications connected to a mailbox are checked whenever that mailbox is investigated.</w:t>
      </w:r>
    </w:p>
    <w:p>
      <w:pPr>
        <w:pStyle w:val="ListBullet"/>
      </w:pPr>
      <w:r>
        <w:t xml:space="preserve">A mailbox suspected of being compromised is a security incident under the Incident Response Policy: securing the account and checking its rules follow that policy, and a payment redirection follows its fraud path.</w:t>
      </w:r>
    </w:p>
    <w:p>
      <w:pPr>
        <w:pStyle w:val="Heading2"/>
      </w:pPr>
      <w:r>
        <w:t xml:space="preserve">3.4 Monitoring</w:t>
      </w:r>
    </w:p>
    <w:p>
      <w:pPr>
        <w:pStyle w:val="ListBullet"/>
      </w:pPr>
      <w:r>
        <w:t xml:space="preserve">Mail-security events (filtering verdicts, authentication reports, administrator changes to mail settings) are log sources under the Logging and Monitoring Policy, and security operations reports anything that looks like an incident under the Incident Response Policy.</w:t>
      </w:r>
    </w:p>
    <w:p>
      <w:pPr>
        <w:pStyle w:val="ListBullet"/>
      </w:pPr>
      <w:r>
        <w:t xml:space="preserve">Mail the organization sends is watched as well. A mailbox that suddenly sends far more mail than usual, or that the provider starts limiting, is treated as a possible compromise and reported under the Incident Response Policy.</w:t>
      </w:r>
    </w:p>
    <w:p>
      <w:pPr>
        <w:pStyle w:val="Heading1"/>
      </w:pPr>
      <w:r>
        <w:t xml:space="preserve">4.0 Roles and Responsibilities</w:t>
      </w:r>
    </w:p>
    <w:p>
      <w:pPr>
        <w:pStyle w:val="ListBullet"/>
      </w:pPr>
      <w:r>
        <w:t xml:space="preserve">The Information Security Lead owns this policy, proposes the filtering baseline of Section 3.2 (changes to it follow Section 5.0), and handles exceptions to that baseline under Section 6.0.</w:t>
      </w:r>
    </w:p>
    <w:p>
      <w:pPr>
        <w:pStyle w:val="ListBullet"/>
      </w:pPr>
      <w:r>
        <w:t xml:space="preserve">Security operations, with IT, reviews the quarantine and the authentication reports, receives forwarding alerts, and keeps Appendix 1 current. Security operations may be an internal team or a qualified service provider; in a small organization the Information Security Lead performs it.</w:t>
      </w:r>
    </w:p>
    <w:p>
      <w:pPr>
        <w:pStyle w:val="ListBullet"/>
      </w:pPr>
      <w:r>
        <w:t xml:space="preserve">Whoever administers the organization's domains (the person or provider that holds the registrar and DNS accounts) keeps the Section 3.1 records current.</w:t>
      </w:r>
    </w:p>
    <w:p>
      <w:pPr>
        <w:pStyle w:val="Heading1"/>
      </w:pPr>
      <w:r>
        <w:t xml:space="preserve">5.0 Policy Review and Updates</w:t>
      </w:r>
    </w:p>
    <w:p>
      <w:r>
        <w:t xml:space="preserve">This policy shall be reviewed at least annually, and sooner when the business, technology, regulations, or the threat environment change significantly. The Information Security Lead starts the review, and Executive Management (the organization's senior leadership, as the Information Security Policy defines it) approves changes before they take effect, following the review process in the Information Security Policy.</w:t>
      </w:r>
    </w:p>
    <w:p>
      <w:pPr>
        <w:pStyle w:val="Heading1"/>
      </w:pPr>
      <w:r>
        <w:t xml:space="preserve">6.0 Exceptions</w:t>
      </w:r>
    </w:p>
    <w:p>
      <w:r>
        <w:t xml:space="preserve">Any planned deviation from this policy requires a documented exception, requested and approved through the exception process in the Information Security Policy. Submit the request in writing to the Information Security Lead. Describe the business reason, what the exception covers, how long it is needed, and any temporary safeguards that reduce the risk. Exceptions expire and are reviewed under that process.</w:t>
      </w:r>
    </w:p>
    <w:p>
      <w:r>
        <w:t xml:space="preserve">An exception documents a temporary gap that stays subject to expiry and review. A gap that is discovered rather than planned is reported and handled first (see Section 7.0); if it must stay open afterward, an exception is requested promptly. A deviation someone chose to make without approval, or a discovered gap kept outside this process, is a violation (see Section 8.0).</w:t>
      </w:r>
    </w:p>
    <w:p>
      <w:pPr>
        <w:pStyle w:val="Heading1"/>
      </w:pPr>
      <w:r>
        <w:t xml:space="preserve">7.0 Reporting Security Incidents and Concerns</w:t>
      </w:r>
    </w:p>
    <w:p>
      <w:r>
        <w:t xml:space="preserve">Report the following promptly: suspected phishing that got through, a mailbox behaving strangely (rules you did not set, mail you did not send), spoofed mail claiming to be the organization, and other security concerns. Use the incident reporting contacts kept in the Information Security Policy (its Appendix 1). A report to any manager counts; the manager passes it to those contacts. Failing to report a security incident you know about or reasonably suspect is itself a policy violation (see Section 8.0).</w:t>
      </w:r>
    </w:p>
    <w:p>
      <w:r>
        <w:t xml:space="preserve">The organization does not punish anyone for making a good-faith report. </w:t>
      </w:r>
      <w:r>
        <w:rPr>
          <w:highlight w:val="yellow"/>
        </w:rPr>
        <w:t xml:space="preserve">[It treats an honest mistake reported promptly more leniently than one concealed, and a late report more leniently than no report at all.]</w:t>
      </w:r>
      <w:r>
        <w:t xml:space="preserve"> Any discipline for the underlying conduct follows Section 8.0.</w:t>
      </w:r>
    </w:p>
    <w:p>
      <w:pPr>
        <w:pStyle w:val="Heading1"/>
      </w:pPr>
      <w:r>
        <w:t xml:space="preserve">8.0 Violations and Disciplinary Action</w:t>
      </w:r>
    </w:p>
    <w:p>
      <w:r>
        <w:t xml:space="preserve">Anyone who violates this policy can face disciplinary action, up to and including termination of employment or contract, and legal action where applicable. The response to a violation will depend on its severity, its impact on the organization's security, and any legal or regulatory requirements.</w:t>
      </w:r>
    </w:p>
    <w:p>
      <w:pPr>
        <w:pStyle w:val="Heading1"/>
      </w:pPr>
      <w:r>
        <w:t xml:space="preserve">9.0 Related Policies and Standards</w:t>
      </w:r>
    </w:p>
    <w:p>
      <w:r>
        <w:t xml:space="preserve">This policy is a supporting policy of the Information Security Policy, the top-level document of the organization's information security policy set. This policy may set stricter rules; a stricter rule is not a conflict. If this policy contradicts the Information Security Policy, the Information Security Policy prevails.</w:t>
      </w:r>
    </w:p>
    <w:p>
      <w:r>
        <w:t xml:space="preserve">It works alongside these policies:</w:t>
      </w:r>
    </w:p>
    <w:p>
      <w:pPr>
        <w:pStyle w:val="ListBullet"/>
      </w:pPr>
      <w:r>
        <w:t xml:space="preserve">The Information Security Policy: the program this policy supports; its approved-services rule requires the email provider to be one the organization has approved.</w:t>
      </w:r>
    </w:p>
    <w:p>
      <w:pPr>
        <w:pStyle w:val="ListBullet"/>
      </w:pPr>
      <w:r>
        <w:t xml:space="preserve">The Acceptable Use Policy: the personal duties this policy supports with technical controls, spotting and reporting phishing and verifying payment-detail changes through a known channel.</w:t>
      </w:r>
    </w:p>
    <w:p>
      <w:pPr>
        <w:pStyle w:val="ListBullet"/>
      </w:pPr>
      <w:r>
        <w:t xml:space="preserve">The Access Control Policy: mailbox sign-in, MFA, delegate access, application access to mailboxes, account recovery, and the privileged accounts at the registrar and the DNS provider.</w:t>
      </w:r>
    </w:p>
    <w:p>
      <w:pPr>
        <w:pStyle w:val="ListBullet"/>
      </w:pPr>
      <w:r>
        <w:t xml:space="preserve">The Data Handling Policy: what may be sent by email at each classification, and how long mail is kept.</w:t>
      </w:r>
    </w:p>
    <w:p>
      <w:pPr>
        <w:pStyle w:val="ListBullet"/>
      </w:pPr>
      <w:r>
        <w:t xml:space="preserve">The Vulnerability Management Policy: keeping the mail service on versions the vendor still updates; a mail client on a user device is updated under the Remote Work &amp; Mobile Device Policy.</w:t>
      </w:r>
    </w:p>
    <w:p>
      <w:pPr>
        <w:pStyle w:val="ListBullet"/>
      </w:pPr>
      <w:r>
        <w:t xml:space="preserve">The Incident Response Policy: handling what gets through, including its fraudulent payment and business email compromise path.</w:t>
      </w:r>
    </w:p>
    <w:p>
      <w:pPr>
        <w:pStyle w:val="ListBullet"/>
      </w:pPr>
      <w:r>
        <w:t xml:space="preserve">The Encryption Policy: mail transport encryption, and the key inventory that holds the DKIM signing keys.</w:t>
      </w:r>
    </w:p>
    <w:p>
      <w:pPr>
        <w:pStyle w:val="ListBullet"/>
      </w:pPr>
      <w:r>
        <w:t xml:space="preserve">The Vendor Risk Management Policy: the email provider this policy configures is a vendor it assesses.</w:t>
      </w:r>
    </w:p>
    <w:p>
      <w:pPr>
        <w:pStyle w:val="ListBullet"/>
      </w:pPr>
      <w:r>
        <w:t xml:space="preserve">The Logging and Monitoring Policy: where the mail-security events this policy produces are collected and watched.</w:t>
      </w:r>
    </w:p>
    <w:p>
      <w:pPr>
        <w:pStyle w:val="ListBullet"/>
      </w:pPr>
      <w:r>
        <w:t xml:space="preserve">The Change Management Policy: changes to domain records and mail settings run through it.</w:t>
      </w:r>
    </w:p>
    <w:p>
      <w:r>
        <w:t xml:space="preserve">Where any of these does not exist yet, treat it as a roadmap item; the rules in this policy apply on their own regardless.</w:t>
      </w:r>
    </w:p>
    <w:p>
      <w:r>
        <w:t xml:space="preserve">At a policy level, these rules put into practice four controls of ISO/IEC 27001:2022 Annex A: control 5.14 (information transfer), control 8.7 (protection against malware), control 8.12 (data leakage prevention, through the blocked attachment types of Section 3.2, the forwarding block of Section 3.3, and the outbound watch of Section 3.4), and control 6.8 (information security event reporting, through the duty in Section 7.0). The mail-related parts of controls 5.15 to 5.18 (access control, identity management, authentication information, and access rights), control 8.24 (use of cryptography), and controls 8.15 and 8.16 (logging, and monitoring activities) are carried by the Access Control, Encryption, and Logging and Monitoring policies this one relies on. They support the Protect and Detect functions of the NIST Cybersecurity Framework 2.0. They also put into practice the email safeguards of Control 9 (Email and Web Browser Protections) of the CIS Critical Security Controls Version 8.1: the email half of Safeguard 9.1 (Ensure Use of Only Fully Supported Browsers and Email Clients) and of Safeguard 9.4 (Restrict Unnecessary or Unauthorized Browser and Email Client Extensions), through Section 3.3; Safeguard 9.5 (Implement DMARC), which names the SPF, DKIM, and DMARC standards Section 3.1 requires; Safeguard 9.6 (Block Unnecessary File Types); and Safeguard 9.7 (Deploy and Maintain Email Server Anti-Malware Protections). Refer to cisecurity.org/controls for the current version of the CIS Controls.</w:t>
      </w:r>
    </w:p>
    <w:p>
      <w:pPr>
        <w:pStyle w:val="Heading1"/>
      </w:pPr>
      <w:r>
        <w:t xml:space="preserve">Appendix 1: Mail Domain and Sender Checklist</w:t>
      </w:r>
    </w:p>
    <w:p>
      <w:r>
        <w:t xml:space="preserve">The first table has one row per domain the organization owns, whether it sends mail or not. The second lists every service that sends mail using those domains. Complete both at adoption, and re-check them at the annual review, whenever a domain is added, and whenever a sending service is added or retired. A domain that sends no mail needs the records that authorize no senders and reject, and a null MX record where it receives no mail as well (Section 3.1).</w:t>
      </w:r>
    </w:p>
    <w:p>
      <w:r>
        <w:rPr>
          <w:b/>
        </w:rPr>
        <w:t xml:space="preserve">Domains</w:t>
      </w:r>
    </w:p>
    <w:tbl>
      <w:tblPr>
        <w:tblStyle w:val="TableGrid"/>
        <w:tblW w:type="auto" w:w="0"/>
        <w:tblLook w:firstColumn="1" w:firstRow="1" w:lastColumn="0" w:lastRow="0" w:noHBand="0" w:noVBand="1" w:val="04A0"/>
      </w:tblPr>
      <w:tblGrid>
        <w:gridCol w:w="1900"/>
        <w:gridCol w:w="1300"/>
        <w:gridCol w:w="1200"/>
        <w:gridCol w:w="2100"/>
        <w:gridCol w:w="1100"/>
        <w:gridCol w:w="1600"/>
        <w:gridCol w:w="1600"/>
      </w:tblGrid>
      <w:tr>
        <w:trPr>
          <w:tblHeader/>
        </w:trPr>
        <w:tc>
          <w:tcPr>
            <w:tcW w:type="dxa" w:w="1900"/>
          </w:tcPr>
          <w:p>
            <w:r>
              <w:rPr>
                <w:b/>
              </w:rPr>
              <w:t xml:space="preserve">Domain</w:t>
            </w:r>
          </w:p>
        </w:tc>
        <w:tc>
          <w:tcPr>
            <w:tcW w:type="dxa" w:w="1300"/>
          </w:tcPr>
          <w:p>
            <w:r>
              <w:rPr>
                <w:b/>
              </w:rPr>
              <w:t xml:space="preserve">SPF</w:t>
            </w:r>
          </w:p>
        </w:tc>
        <w:tc>
          <w:tcPr>
            <w:tcW w:type="dxa" w:w="1200"/>
          </w:tcPr>
          <w:p>
            <w:r>
              <w:rPr>
                <w:b/>
              </w:rPr>
              <w:t xml:space="preserve">DKIM</w:t>
            </w:r>
          </w:p>
        </w:tc>
        <w:tc>
          <w:tcPr>
            <w:tcW w:type="dxa" w:w="2100"/>
          </w:tcPr>
          <w:p>
            <w:r>
              <w:rPr>
                <w:b/>
              </w:rPr>
              <w:t xml:space="preserve">DMARC instruction (p, sp, np)</w:t>
            </w:r>
          </w:p>
        </w:tc>
        <w:tc>
          <w:tcPr>
            <w:tcW w:type="dxa" w:w="1100"/>
          </w:tcPr>
          <w:p>
            <w:r>
              <w:rPr>
                <w:b/>
              </w:rPr>
              <w:t xml:space="preserve">Null MX</w:t>
            </w:r>
          </w:p>
        </w:tc>
        <w:tc>
          <w:tcPr>
            <w:tcW w:type="dxa" w:w="1600"/>
          </w:tcPr>
          <w:p>
            <w:r>
              <w:rPr>
                <w:b/>
              </w:rPr>
              <w:t xml:space="preserve">MTA-STS and TLS-RPT</w:t>
            </w:r>
          </w:p>
        </w:tc>
        <w:tc>
          <w:tcPr>
            <w:tcW w:type="dxa" w:w="1600"/>
          </w:tcPr>
          <w:p>
            <w:r>
              <w:rPr>
                <w:b/>
              </w:rPr>
              <w:t xml:space="preserve">Owner and date checked</w:t>
            </w:r>
          </w:p>
        </w:tc>
      </w:tr>
      <w:tr>
        <w:trPr>
          <w:trHeight w:hRule="atLeast" w:val="576"/>
        </w:trPr>
        <w:tc>
          <w:tcPr>
            <w:tcW w:type="dxa" w:w="1900"/>
          </w:tcPr>
          <w:p>
            <w:r>
              <w:rPr>
                <w:highlight w:val="yellow"/>
              </w:rPr>
              <w:t xml:space="preserve">[primary sending domain]</w:t>
            </w:r>
          </w:p>
        </w:tc>
        <w:tc>
          <w:tcPr>
            <w:tcW w:type="dxa" w:w="1300"/>
          </w:tcPr>
          <w:p/>
        </w:tc>
        <w:tc>
          <w:tcPr>
            <w:tcW w:type="dxa" w:w="1200"/>
          </w:tcPr>
          <w:p/>
        </w:tc>
        <w:tc>
          <w:tcPr>
            <w:tcW w:type="dxa" w:w="2100"/>
          </w:tcPr>
          <w:p>
            <w:r>
              <w:rPr>
                <w:highlight w:val="yellow"/>
              </w:rPr>
              <w:t xml:space="preserve">[monitoring, then quarantine, then reject]</w:t>
            </w:r>
          </w:p>
        </w:tc>
        <w:tc>
          <w:tcPr>
            <w:tcW w:type="dxa" w:w="1100"/>
          </w:tcPr>
          <w:p/>
        </w:tc>
        <w:tc>
          <w:tcPr>
            <w:tcW w:type="dxa" w:w="1600"/>
          </w:tcPr>
          <w:p/>
        </w:tc>
        <w:tc>
          <w:tcPr>
            <w:tcW w:type="dxa" w:w="1600"/>
          </w:tcPr>
          <w:p/>
        </w:tc>
      </w:tr>
      <w:tr>
        <w:trPr>
          <w:trHeight w:hRule="atLeast" w:val="576"/>
        </w:trPr>
        <w:tc>
          <w:tcPr>
            <w:tcW w:type="dxa" w:w="1900"/>
          </w:tcPr>
          <w:p>
            <w:r>
              <w:rPr>
                <w:highlight w:val="yellow"/>
              </w:rPr>
              <w:t xml:space="preserve">[other sending domain or subdomain]</w:t>
            </w:r>
          </w:p>
        </w:tc>
        <w:tc>
          <w:tcPr>
            <w:tcW w:type="dxa" w:w="1300"/>
          </w:tcPr>
          <w:p/>
        </w:tc>
        <w:tc>
          <w:tcPr>
            <w:tcW w:type="dxa" w:w="1200"/>
          </w:tcPr>
          <w:p/>
        </w:tc>
        <w:tc>
          <w:tcPr>
            <w:tcW w:type="dxa" w:w="2100"/>
          </w:tcPr>
          <w:p>
            <w:r>
              <w:rPr>
                <w:highlight w:val="yellow"/>
              </w:rPr>
              <w:t xml:space="preserve">[monitoring, then quarantine, then reject]</w:t>
            </w:r>
          </w:p>
        </w:tc>
        <w:tc>
          <w:tcPr>
            <w:tcW w:type="dxa" w:w="1100"/>
          </w:tcPr>
          <w:p/>
        </w:tc>
        <w:tc>
          <w:tcPr>
            <w:tcW w:type="dxa" w:w="1600"/>
          </w:tcPr>
          <w:p/>
        </w:tc>
        <w:tc>
          <w:tcPr>
            <w:tcW w:type="dxa" w:w="1600"/>
          </w:tcPr>
          <w:p/>
        </w:tc>
      </w:tr>
      <w:tr>
        <w:trPr>
          <w:trHeight w:hRule="atLeast" w:val="576"/>
        </w:trPr>
        <w:tc>
          <w:tcPr>
            <w:tcW w:type="dxa" w:w="1900"/>
          </w:tcPr>
          <w:p>
            <w:r>
              <w:rPr>
                <w:highlight w:val="yellow"/>
              </w:rPr>
              <w:t xml:space="preserve">[domain that sends no mail]</w:t>
            </w:r>
          </w:p>
        </w:tc>
        <w:tc>
          <w:tcPr>
            <w:tcW w:type="dxa" w:w="1300"/>
          </w:tcPr>
          <w:p>
            <w:r>
              <w:rPr>
                <w:highlight w:val="yellow"/>
              </w:rPr>
              <w:t xml:space="preserve">[authorizes no senders]</w:t>
            </w:r>
          </w:p>
        </w:tc>
        <w:tc>
          <w:tcPr>
            <w:tcW w:type="dxa" w:w="1200"/>
          </w:tcPr>
          <w:p>
            <w:r>
              <w:rPr>
                <w:highlight w:val="yellow"/>
              </w:rPr>
              <w:t xml:space="preserve">[not applicable]</w:t>
            </w:r>
          </w:p>
        </w:tc>
        <w:tc>
          <w:tcPr>
            <w:tcW w:type="dxa" w:w="2100"/>
          </w:tcPr>
          <w:p>
            <w:r>
              <w:rPr>
                <w:highlight w:val="yellow"/>
              </w:rPr>
              <w:t xml:space="preserve">[reject]</w:t>
            </w:r>
          </w:p>
        </w:tc>
        <w:tc>
          <w:tcPr>
            <w:tcW w:type="dxa" w:w="1100"/>
          </w:tcPr>
          <w:p>
            <w:r>
              <w:rPr>
                <w:highlight w:val="yellow"/>
              </w:rPr>
              <w:t xml:space="preserve">[where it receives no mail]</w:t>
            </w:r>
          </w:p>
        </w:tc>
        <w:tc>
          <w:tcPr>
            <w:tcW w:type="dxa" w:w="1600"/>
          </w:tcPr>
          <w:p>
            <w:r>
              <w:rPr>
                <w:highlight w:val="yellow"/>
              </w:rPr>
              <w:t xml:space="preserve">[not applicable]</w:t>
            </w:r>
          </w:p>
        </w:tc>
        <w:tc>
          <w:tcPr>
            <w:tcW w:type="dxa" w:w="1600"/>
          </w:tcPr>
          <w:p/>
        </w:tc>
      </w:tr>
    </w:tbl>
    <w:p>
      <w:r>
        <w:rPr>
          <w:b/>
        </w:rPr>
        <w:t xml:space="preserve">Services that send mail using these domains</w:t>
      </w:r>
    </w:p>
    <w:tbl>
      <w:tblPr>
        <w:tblStyle w:val="TableGrid"/>
        <w:tblW w:type="auto" w:w="0"/>
        <w:tblLook w:firstColumn="1" w:firstRow="1" w:lastColumn="0" w:lastRow="0" w:noHBand="0" w:noVBand="1" w:val="04A0"/>
      </w:tblPr>
      <w:tblGrid>
        <w:gridCol w:w="2900"/>
        <w:gridCol w:w="2200"/>
        <w:gridCol w:w="2100"/>
        <w:gridCol w:w="1800"/>
        <w:gridCol w:w="1800"/>
      </w:tblGrid>
      <w:tr>
        <w:trPr>
          <w:tblHeader/>
        </w:trPr>
        <w:tc>
          <w:tcPr>
            <w:tcW w:type="dxa" w:w="2900"/>
          </w:tcPr>
          <w:p>
            <w:r>
              <w:rPr>
                <w:b/>
              </w:rPr>
              <w:t xml:space="preserve">Service</w:t>
            </w:r>
          </w:p>
        </w:tc>
        <w:tc>
          <w:tcPr>
            <w:tcW w:type="dxa" w:w="2200"/>
          </w:tcPr>
          <w:p>
            <w:r>
              <w:rPr>
                <w:b/>
              </w:rPr>
              <w:t xml:space="preserve">Domain it sends for</w:t>
            </w:r>
          </w:p>
        </w:tc>
        <w:tc>
          <w:tcPr>
            <w:tcW w:type="dxa" w:w="2100"/>
          </w:tcPr>
          <w:p>
            <w:r>
              <w:rPr>
                <w:b/>
              </w:rPr>
              <w:t xml:space="preserve">DKIM key (and SPF where used)</w:t>
            </w:r>
          </w:p>
        </w:tc>
        <w:tc>
          <w:tcPr>
            <w:tcW w:type="dxa" w:w="1800"/>
          </w:tcPr>
          <w:p>
            <w:r>
              <w:rPr>
                <w:b/>
              </w:rPr>
              <w:t xml:space="preserve">Owner</w:t>
            </w:r>
          </w:p>
        </w:tc>
        <w:tc>
          <w:tcPr>
            <w:tcW w:type="dxa" w:w="1800"/>
          </w:tcPr>
          <w:p>
            <w:r>
              <w:rPr>
                <w:b/>
              </w:rPr>
              <w:t xml:space="preserve">Date checked</w:t>
            </w:r>
          </w:p>
        </w:tc>
      </w:tr>
      <w:tr>
        <w:trPr>
          <w:trHeight w:hRule="atLeast" w:val="576"/>
        </w:trPr>
        <w:tc>
          <w:tcPr>
            <w:tcW w:type="dxa" w:w="2900"/>
          </w:tcPr>
          <w:p>
            <w:r>
              <w:rPr>
                <w:highlight w:val="yellow"/>
              </w:rPr>
              <w:t xml:space="preserve">[invoicing or accounting system]</w:t>
            </w:r>
          </w:p>
        </w:tc>
        <w:tc>
          <w:tcPr>
            <w:tcW w:type="dxa" w:w="2200"/>
          </w:tcPr>
          <w:p/>
        </w:tc>
        <w:tc>
          <w:tcPr>
            <w:tcW w:type="dxa" w:w="2100"/>
          </w:tcPr>
          <w:p/>
        </w:tc>
        <w:tc>
          <w:tcPr>
            <w:tcW w:type="dxa" w:w="1800"/>
          </w:tcPr>
          <w:p/>
        </w:tc>
        <w:tc>
          <w:tcPr>
            <w:tcW w:type="dxa" w:w="1800"/>
          </w:tcPr>
          <w:p/>
        </w:tc>
      </w:tr>
      <w:tr>
        <w:trPr>
          <w:trHeight w:hRule="atLeast" w:val="576"/>
        </w:trPr>
        <w:tc>
          <w:tcPr>
            <w:tcW w:type="dxa" w:w="2900"/>
          </w:tcPr>
          <w:p>
            <w:r>
              <w:rPr>
                <w:highlight w:val="yellow"/>
              </w:rPr>
              <w:t xml:space="preserve">[marketing or newsletter platform]</w:t>
            </w:r>
          </w:p>
        </w:tc>
        <w:tc>
          <w:tcPr>
            <w:tcW w:type="dxa" w:w="2200"/>
          </w:tcPr>
          <w:p/>
        </w:tc>
        <w:tc>
          <w:tcPr>
            <w:tcW w:type="dxa" w:w="2100"/>
          </w:tcPr>
          <w:p/>
        </w:tc>
        <w:tc>
          <w:tcPr>
            <w:tcW w:type="dxa" w:w="1800"/>
          </w:tcPr>
          <w:p/>
        </w:tc>
        <w:tc>
          <w:tcPr>
            <w:tcW w:type="dxa" w:w="1800"/>
          </w:tcPr>
          <w:p/>
        </w:tc>
      </w:tr>
      <w:tr>
        <w:trPr>
          <w:trHeight w:hRule="atLeast" w:val="576"/>
        </w:trPr>
        <w:tc>
          <w:tcPr>
            <w:tcW w:type="dxa" w:w="2900"/>
          </w:tcPr>
          <w:p>
            <w:r>
              <w:rPr>
                <w:highlight w:val="yellow"/>
              </w:rPr>
              <w:t xml:space="preserve">[helpdesk or ticketing system]</w:t>
            </w:r>
          </w:p>
        </w:tc>
        <w:tc>
          <w:tcPr>
            <w:tcW w:type="dxa" w:w="2200"/>
          </w:tcPr>
          <w:p/>
        </w:tc>
        <w:tc>
          <w:tcPr>
            <w:tcW w:type="dxa" w:w="2100"/>
          </w:tcPr>
          <w:p/>
        </w:tc>
        <w:tc>
          <w:tcPr>
            <w:tcW w:type="dxa" w:w="1800"/>
          </w:tcPr>
          <w:p/>
        </w:tc>
        <w:tc>
          <w:tcPr>
            <w:tcW w:type="dxa" w:w="1800"/>
          </w:tcP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Email Security Policy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5</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1673</Words>
  <Characters>18012</Characters>
  <DocSecurity>0</DocSecurity>
  <Lines>189</Lines>
  <Paragraphs>143</Paragraphs>
  <ScaleCrop>false</ScaleCrop>
  <HeadingPairs>
    <vt:vector size="2" baseType="variant">
      <vt:variant>
        <vt:lpstr>Title</vt:lpstr>
      </vt:variant>
      <vt:variant>
        <vt:i4>1</vt:i4>
      </vt:variant>
    </vt:vector>
  </HeadingPairs>
  <TitlesOfParts>
    <vt:vector size="1" baseType="lpstr">
      <vt:lpstr>Email Security Policy</vt:lpstr>
    </vt:vector>
  </TitlesOfParts>
  <Manager/>
  <Company>anoBytes Technology Solutions LLC</Company>
  <LinksUpToDate>false</LinksUpToDate>
  <CharactersWithSpaces>21265</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Email Security Policy</dc:title>
  <dc:subject>Email Security Policy template</dc:subject>
  <dc:creator>Nelson Pereira, anoBytes Technology Solutions LLC</dc:creator>
  <cp:keywords>bec, quarantine, impersonation, inbound filtering, domain authentication, dkim signing, sending domain, authentication reports, monitoring, delegate access, reject, fraud, malware, attachments, payment-detail changes, forwarding, parked, phishing, null mx, mta-sts, tls-rpt, dane, spoofing, subdomain, sp tag, np tag, spf record, third-party senders, dns lookups, mailing lists, app passwords, sender policy framework, domainkeys, spam, malware scanning, shared mailbox, link checking, mail client, add-ins, display-name, reporting service, registrar, transfer lock, aggregate reports, failure reports, soft fail, delegation, mail-security, organization-side</cp:keywords>
  <dc:description>The organization's side of email security: SPF, DKIM, and DMARC on your domains, provider filtering, the mailbox rules that catch business email compromise, and what to watch.</dc:description>
  <cp:lastModifiedBy/>
  <cp:revision>1</cp:revision>
  <dcterms:created xsi:type="dcterms:W3CDTF">2026-07-30T00:00:00Z</dcterms:created>
  <dcterms:modified xsi:type="dcterms:W3CDTF">2026-09-07T00:00:00Z</dcterms:modified>
  <cp:category>Template</cp:category>
</cp:coreProperties>
</file>