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 xml:space="preserve">Incident Response Plan Worksheet</w:t>
      </w:r>
    </w:p>
    <w:p>
      <w:r>
        <w:t xml:space="preserve">The Incident Response Policy prepares the organization to handle security incidents. In a small organization, that policy becomes the response plan once you complete its appendix. This worksheet is the printable short form of that appendix: the names, numbers, and choices the policy leaves open, with the first-hour steps from the policy added, printed and kept on hand.</w:t>
      </w:r>
    </w:p>
    <w:p>
      <w:r>
        <w:t xml:space="preserve">Each </w:t>
      </w:r>
      <w:r>
        <w:rPr>
          <w:highlight w:val="yellow"/>
        </w:rPr>
        <w:t xml:space="preserve">[bracketed]</w:t>
      </w:r>
      <w:r>
        <w:t xml:space="preserve"> item is a placeholder to fill in, a starting value to accept or change, or a note to you that you delete once you have acted on it. Remove the brackets and the yellow highlighting as you go.</w:t>
      </w:r>
    </w:p>
    <w:p>
      <w:r>
        <w:t xml:space="preserve">Keep a printed copy outside the organization's own systems, with the offline copies the Business Continuity &amp; Disaster Recovery (BC/DR) Plan keeps, so an incident that takes those systems down does not take this sheet with it. Fill in Sections 1.0, 2.0, 4.0, and 6.0 before the policy takes effect; Section 5.0 stays blank until an incident happens. Bring it to the annual exercise, and review it whenever you review the policy. Where this sheet and the policy disagree, follow the policy. Once filled in, this sheet holds personal contact details: store the printed and offline copies securely, and take those details out before showing it to anyone outside the organization.</w:t>
      </w:r>
    </w:p>
    <w:p>
      <w:pPr>
        <w:pStyle w:val="Heading1"/>
      </w:pPr>
      <w:r>
        <w:t xml:space="preserve">1.0 Who Responds</w:t>
      </w:r>
    </w:p>
    <w:p>
      <w:r>
        <w:t xml:space="preserve">The Incident Response Policy defines these roles in its Section 4.0, with the alternate in its Section 3.2 and the reporting contact in its Section 7.0. Its Appendix 1 lists the same people together with the outside help in Section 2.0 below. Keep the names and numbers matched. Name a person for each one, and give a number that reaches them outside business hours.</w:t>
      </w:r>
    </w:p>
    <w:tbl>
      <w:tblPr>
        <w:tblStyle w:val="TableGrid"/>
        <w:tblW w:type="auto" w:w="0"/>
        <w:tblLook w:firstColumn="1" w:firstRow="1" w:lastColumn="0" w:lastRow="0" w:noHBand="0" w:noVBand="1" w:val="04A0"/>
      </w:tblPr>
      <w:tblGrid>
        <w:gridCol w:w="3200"/>
        <w:gridCol w:w="2400"/>
        <w:gridCol w:w="1700"/>
        <w:gridCol w:w="2100"/>
        <w:gridCol w:w="1400"/>
      </w:tblGrid>
      <w:tr>
        <w:trPr>
          <w:cantSplit/>
          <w:tblHeader/>
        </w:trPr>
        <w:tc>
          <w:tcPr>
            <w:tcW w:type="dxa" w:w="3200"/>
          </w:tcPr>
          <w:p>
            <w:r>
              <w:rPr>
                <w:b/>
              </w:rPr>
              <w:t xml:space="preserve">Role</w:t>
            </w:r>
          </w:p>
        </w:tc>
        <w:tc>
          <w:tcPr>
            <w:tcW w:type="dxa" w:w="2400"/>
          </w:tcPr>
          <w:p>
            <w:r>
              <w:rPr>
                <w:b/>
              </w:rPr>
              <w:t xml:space="preserve">Name</w:t>
            </w:r>
          </w:p>
        </w:tc>
        <w:tc>
          <w:tcPr>
            <w:tcW w:type="dxa" w:w="1700"/>
          </w:tcPr>
          <w:p>
            <w:r>
              <w:rPr>
                <w:b/>
              </w:rPr>
              <w:t xml:space="preserve">Phone</w:t>
            </w:r>
          </w:p>
        </w:tc>
        <w:tc>
          <w:tcPr>
            <w:tcW w:type="dxa" w:w="2100"/>
          </w:tcPr>
          <w:p>
            <w:r>
              <w:rPr>
                <w:b/>
              </w:rPr>
              <w:t xml:space="preserve">Email</w:t>
            </w:r>
          </w:p>
        </w:tc>
        <w:tc>
          <w:tcPr>
            <w:tcW w:type="dxa" w:w="1400"/>
          </w:tcPr>
          <w:p>
            <w:r>
              <w:rPr>
                <w:b/>
              </w:rPr>
              <w:t xml:space="preserve">After hours</w:t>
            </w:r>
          </w:p>
        </w:tc>
      </w:tr>
      <w:tr>
        <w:trPr>
          <w:cantSplit/>
        </w:trPr>
        <w:tc>
          <w:tcPr>
            <w:tcW w:type="dxa" w:w="3200"/>
          </w:tcPr>
          <w:p>
            <w:r>
              <w:t xml:space="preserve">Report a suspected incident to (the contact the Information Security Policy's Appendix 1 names)</w:t>
            </w:r>
          </w:p>
        </w:tc>
        <w:tc>
          <w:tcPr>
            <w:tcW w:type="dxa" w:w="2400"/>
          </w:tcPr>
          <w:p>
            <w:r>
              <w:rPr>
                <w:highlight w:val="yellow"/>
              </w:rPr>
              <w:t xml:space="preserve">[Name]</w:t>
            </w:r>
          </w:p>
        </w:tc>
        <w:tc>
          <w:tcPr>
            <w:tcW w:type="dxa" w:w="1700"/>
          </w:tcPr>
          <w:p>
            <w:r>
              <w:rPr>
                <w:highlight w:val="yellow"/>
              </w:rPr>
              <w:t xml:space="preserve">[Phone]</w:t>
            </w:r>
          </w:p>
        </w:tc>
        <w:tc>
          <w:tcPr>
            <w:tcW w:type="dxa" w:w="2100"/>
          </w:tcPr>
          <w:p>
            <w:r>
              <w:rPr>
                <w:highlight w:val="yellow"/>
              </w:rPr>
              <w:t xml:space="preserve">[Email]</w:t>
            </w:r>
          </w:p>
        </w:tc>
        <w:tc>
          <w:tcPr>
            <w:tcW w:type="dxa" w:w="1400"/>
          </w:tcPr>
          <w:p>
            <w:r>
              <w:rPr>
                <w:highlight w:val="yellow"/>
              </w:rPr>
              <w:t xml:space="preserve">[Number]</w:t>
            </w:r>
          </w:p>
        </w:tc>
      </w:tr>
      <w:tr>
        <w:trPr>
          <w:cantSplit/>
        </w:trPr>
        <w:tc>
          <w:tcPr>
            <w:tcW w:type="dxa" w:w="3200"/>
          </w:tcPr>
          <w:p>
            <w:r>
              <w:t xml:space="preserve">Information Security Lead (leads the response)</w:t>
            </w:r>
          </w:p>
        </w:tc>
        <w:tc>
          <w:tcPr>
            <w:tcW w:type="dxa" w:w="2400"/>
          </w:tcPr>
          <w:p>
            <w:r>
              <w:rPr>
                <w:highlight w:val="yellow"/>
              </w:rPr>
              <w:t xml:space="preserve">[Name]</w:t>
            </w:r>
          </w:p>
        </w:tc>
        <w:tc>
          <w:tcPr>
            <w:tcW w:type="dxa" w:w="1700"/>
          </w:tcPr>
          <w:p>
            <w:r>
              <w:rPr>
                <w:highlight w:val="yellow"/>
              </w:rPr>
              <w:t xml:space="preserve">[Phone]</w:t>
            </w:r>
          </w:p>
        </w:tc>
        <w:tc>
          <w:tcPr>
            <w:tcW w:type="dxa" w:w="2100"/>
          </w:tcPr>
          <w:p>
            <w:r>
              <w:rPr>
                <w:highlight w:val="yellow"/>
              </w:rPr>
              <w:t xml:space="preserve">[Email]</w:t>
            </w:r>
          </w:p>
        </w:tc>
        <w:tc>
          <w:tcPr>
            <w:tcW w:type="dxa" w:w="1400"/>
          </w:tcPr>
          <w:p>
            <w:r>
              <w:rPr>
                <w:highlight w:val="yellow"/>
              </w:rPr>
              <w:t xml:space="preserve">[Number]</w:t>
            </w:r>
          </w:p>
        </w:tc>
      </w:tr>
      <w:tr>
        <w:trPr>
          <w:cantSplit/>
        </w:trPr>
        <w:tc>
          <w:tcPr>
            <w:tcW w:type="dxa" w:w="3200"/>
          </w:tcPr>
          <w:p>
            <w:r>
              <w:t xml:space="preserve">Alternate (the deputy named under the Information Security Policy; leads the response where the Lead is unavailable or is connected to the incident, policy Section 3.2)</w:t>
            </w:r>
          </w:p>
        </w:tc>
        <w:tc>
          <w:tcPr>
            <w:tcW w:type="dxa" w:w="2400"/>
          </w:tcPr>
          <w:p>
            <w:r>
              <w:rPr>
                <w:highlight w:val="yellow"/>
              </w:rPr>
              <w:t xml:space="preserve">[Name]</w:t>
            </w:r>
          </w:p>
        </w:tc>
        <w:tc>
          <w:tcPr>
            <w:tcW w:type="dxa" w:w="1700"/>
          </w:tcPr>
          <w:p>
            <w:r>
              <w:rPr>
                <w:highlight w:val="yellow"/>
              </w:rPr>
              <w:t xml:space="preserve">[Phone]</w:t>
            </w:r>
          </w:p>
        </w:tc>
        <w:tc>
          <w:tcPr>
            <w:tcW w:type="dxa" w:w="2100"/>
          </w:tcPr>
          <w:p>
            <w:r>
              <w:rPr>
                <w:highlight w:val="yellow"/>
              </w:rPr>
              <w:t xml:space="preserve">[Email]</w:t>
            </w:r>
          </w:p>
        </w:tc>
        <w:tc>
          <w:tcPr>
            <w:tcW w:type="dxa" w:w="1400"/>
          </w:tcPr>
          <w:p>
            <w:r>
              <w:rPr>
                <w:highlight w:val="yellow"/>
              </w:rPr>
              <w:t xml:space="preserve">[Number]</w:t>
            </w:r>
          </w:p>
        </w:tc>
      </w:tr>
      <w:tr>
        <w:trPr>
          <w:cantSplit/>
        </w:trPr>
        <w:tc>
          <w:tcPr>
            <w:tcW w:type="dxa" w:w="3200"/>
          </w:tcPr>
          <w:p>
            <w:r>
              <w:t xml:space="preserve">Security operations (the internal team or provider that investigates; in a small organization the Information Security Lead performs it)</w:t>
            </w:r>
          </w:p>
        </w:tc>
        <w:tc>
          <w:tcPr>
            <w:tcW w:type="dxa" w:w="2400"/>
          </w:tcPr>
          <w:p>
            <w:r>
              <w:rPr>
                <w:highlight w:val="yellow"/>
              </w:rPr>
              <w:t xml:space="preserve">[Name]</w:t>
            </w:r>
          </w:p>
        </w:tc>
        <w:tc>
          <w:tcPr>
            <w:tcW w:type="dxa" w:w="1700"/>
          </w:tcPr>
          <w:p>
            <w:r>
              <w:rPr>
                <w:highlight w:val="yellow"/>
              </w:rPr>
              <w:t xml:space="preserve">[Phone]</w:t>
            </w:r>
          </w:p>
        </w:tc>
        <w:tc>
          <w:tcPr>
            <w:tcW w:type="dxa" w:w="2100"/>
          </w:tcPr>
          <w:p>
            <w:r>
              <w:rPr>
                <w:highlight w:val="yellow"/>
              </w:rPr>
              <w:t xml:space="preserve">[Email]</w:t>
            </w:r>
          </w:p>
        </w:tc>
        <w:tc>
          <w:tcPr>
            <w:tcW w:type="dxa" w:w="1400"/>
          </w:tcPr>
          <w:p>
            <w:r>
              <w:rPr>
                <w:highlight w:val="yellow"/>
              </w:rPr>
              <w:t xml:space="preserve">[Number]</w:t>
            </w:r>
          </w:p>
        </w:tc>
      </w:tr>
      <w:tr>
        <w:trPr>
          <w:cantSplit/>
        </w:trPr>
        <w:tc>
          <w:tcPr>
            <w:tcW w:type="dxa" w:w="3200"/>
          </w:tcPr>
          <w:p>
            <w:r>
              <w:t xml:space="preserve">Facility owner (for an incident involving the premises, policy Section 4.0)</w:t>
            </w:r>
          </w:p>
        </w:tc>
        <w:tc>
          <w:tcPr>
            <w:tcW w:type="dxa" w:w="2400"/>
          </w:tcPr>
          <w:p>
            <w:r>
              <w:rPr>
                <w:highlight w:val="yellow"/>
              </w:rPr>
              <w:t xml:space="preserve">[Name]</w:t>
            </w:r>
          </w:p>
        </w:tc>
        <w:tc>
          <w:tcPr>
            <w:tcW w:type="dxa" w:w="1700"/>
          </w:tcPr>
          <w:p>
            <w:r>
              <w:rPr>
                <w:highlight w:val="yellow"/>
              </w:rPr>
              <w:t xml:space="preserve">[Phone]</w:t>
            </w:r>
          </w:p>
        </w:tc>
        <w:tc>
          <w:tcPr>
            <w:tcW w:type="dxa" w:w="2100"/>
          </w:tcPr>
          <w:p>
            <w:r>
              <w:rPr>
                <w:highlight w:val="yellow"/>
              </w:rPr>
              <w:t xml:space="preserve">[Email]</w:t>
            </w:r>
          </w:p>
        </w:tc>
        <w:tc>
          <w:tcPr>
            <w:tcW w:type="dxa" w:w="1400"/>
          </w:tcPr>
          <w:p>
            <w:r>
              <w:rPr>
                <w:highlight w:val="yellow"/>
              </w:rPr>
              <w:t xml:space="preserve">[Number]</w:t>
            </w:r>
          </w:p>
        </w:tc>
      </w:tr>
      <w:tr>
        <w:trPr>
          <w:cantSplit/>
        </w:trPr>
        <w:tc>
          <w:tcPr>
            <w:tcW w:type="dxa" w:w="3200"/>
          </w:tcPr>
          <w:p>
            <w:r>
              <w:t xml:space="preserve">Human Resources (where the organization has none, a named manager or the Information Security Lead; for an incident that involves people, policy Section 4.0)</w:t>
            </w:r>
          </w:p>
        </w:tc>
        <w:tc>
          <w:tcPr>
            <w:tcW w:type="dxa" w:w="2400"/>
          </w:tcPr>
          <w:p>
            <w:r>
              <w:rPr>
                <w:highlight w:val="yellow"/>
              </w:rPr>
              <w:t xml:space="preserve">[Name]</w:t>
            </w:r>
          </w:p>
        </w:tc>
        <w:tc>
          <w:tcPr>
            <w:tcW w:type="dxa" w:w="1700"/>
          </w:tcPr>
          <w:p>
            <w:r>
              <w:rPr>
                <w:highlight w:val="yellow"/>
              </w:rPr>
              <w:t xml:space="preserve">[Phone]</w:t>
            </w:r>
          </w:p>
        </w:tc>
        <w:tc>
          <w:tcPr>
            <w:tcW w:type="dxa" w:w="2100"/>
          </w:tcPr>
          <w:p>
            <w:r>
              <w:rPr>
                <w:highlight w:val="yellow"/>
              </w:rPr>
              <w:t xml:space="preserve">[Email]</w:t>
            </w:r>
          </w:p>
        </w:tc>
        <w:tc>
          <w:tcPr>
            <w:tcW w:type="dxa" w:w="1400"/>
          </w:tcPr>
          <w:p>
            <w:r>
              <w:rPr>
                <w:highlight w:val="yellow"/>
              </w:rPr>
              <w:t xml:space="preserve">[Number]</w:t>
            </w:r>
          </w:p>
        </w:tc>
      </w:tr>
      <w:tr>
        <w:trPr>
          <w:cantSplit/>
        </w:trPr>
        <w:tc>
          <w:tcPr>
            <w:tcW w:type="dxa" w:w="3200"/>
          </w:tcPr>
          <w:p>
            <w:r>
              <w:t xml:space="preserve">Executive Management contact (the organization's senior leadership, as the Information Security Policy defines it)</w:t>
            </w:r>
          </w:p>
        </w:tc>
        <w:tc>
          <w:tcPr>
            <w:tcW w:type="dxa" w:w="2400"/>
          </w:tcPr>
          <w:p>
            <w:r>
              <w:rPr>
                <w:highlight w:val="yellow"/>
              </w:rPr>
              <w:t xml:space="preserve">[Name]</w:t>
            </w:r>
          </w:p>
        </w:tc>
        <w:tc>
          <w:tcPr>
            <w:tcW w:type="dxa" w:w="1700"/>
          </w:tcPr>
          <w:p>
            <w:r>
              <w:rPr>
                <w:highlight w:val="yellow"/>
              </w:rPr>
              <w:t xml:space="preserve">[Phone]</w:t>
            </w:r>
          </w:p>
        </w:tc>
        <w:tc>
          <w:tcPr>
            <w:tcW w:type="dxa" w:w="2100"/>
          </w:tcPr>
          <w:p>
            <w:r>
              <w:rPr>
                <w:highlight w:val="yellow"/>
              </w:rPr>
              <w:t xml:space="preserve">[Email]</w:t>
            </w:r>
          </w:p>
        </w:tc>
        <w:tc>
          <w:tcPr>
            <w:tcW w:type="dxa" w:w="1400"/>
          </w:tcPr>
          <w:p>
            <w:r>
              <w:rPr>
                <w:highlight w:val="yellow"/>
              </w:rPr>
              <w:t xml:space="preserve">[Number]</w:t>
            </w:r>
          </w:p>
        </w:tc>
      </w:tr>
      <w:tr>
        <w:trPr>
          <w:cantSplit/>
        </w:trPr>
        <w:tc>
          <w:tcPr>
            <w:tcW w:type="dxa" w:w="3200"/>
          </w:tcPr>
          <w:p>
            <w:r>
              <w:t xml:space="preserve">Board of Directors or owners (where a concern involves Executive Management, policy Section 7.0; where there is no Board and no separate owner, the outside contact the Information Security Policy records)</w:t>
            </w:r>
          </w:p>
        </w:tc>
        <w:tc>
          <w:tcPr>
            <w:tcW w:type="dxa" w:w="2400"/>
          </w:tcPr>
          <w:p>
            <w:r>
              <w:rPr>
                <w:highlight w:val="yellow"/>
              </w:rPr>
              <w:t xml:space="preserve">[Name]</w:t>
            </w:r>
          </w:p>
        </w:tc>
        <w:tc>
          <w:tcPr>
            <w:tcW w:type="dxa" w:w="1700"/>
          </w:tcPr>
          <w:p>
            <w:r>
              <w:rPr>
                <w:highlight w:val="yellow"/>
              </w:rPr>
              <w:t xml:space="preserve">[Phone]</w:t>
            </w:r>
          </w:p>
        </w:tc>
        <w:tc>
          <w:tcPr>
            <w:tcW w:type="dxa" w:w="2100"/>
          </w:tcPr>
          <w:p>
            <w:r>
              <w:rPr>
                <w:highlight w:val="yellow"/>
              </w:rPr>
              <w:t xml:space="preserve">[Email]</w:t>
            </w:r>
          </w:p>
        </w:tc>
        <w:tc>
          <w:tcPr>
            <w:tcW w:type="dxa" w:w="1400"/>
          </w:tcPr>
          <w:p>
            <w:r>
              <w:rPr>
                <w:highlight w:val="yellow"/>
              </w:rPr>
              <w:t xml:space="preserve">[Number]</w:t>
            </w:r>
          </w:p>
        </w:tc>
      </w:tr>
      <w:tr>
        <w:trPr>
          <w:cantSplit/>
        </w:trPr>
        <w:tc>
          <w:tcPr>
            <w:tcW w:type="dxa" w:w="3200"/>
          </w:tcPr>
          <w:p>
            <w:r>
              <w:t xml:space="preserve">Executive-approved representative (the only person who speaks for the organization to outside parties about an incident, policy Section 3.9; the exceptions are in Section 2.0: the insurer, the bank or payment provider, and the fraud report to law enforcement)</w:t>
            </w:r>
          </w:p>
        </w:tc>
        <w:tc>
          <w:tcPr>
            <w:tcW w:type="dxa" w:w="2400"/>
          </w:tcPr>
          <w:p>
            <w:r>
              <w:rPr>
                <w:highlight w:val="yellow"/>
              </w:rPr>
              <w:t xml:space="preserve">[Name]</w:t>
            </w:r>
          </w:p>
        </w:tc>
        <w:tc>
          <w:tcPr>
            <w:tcW w:type="dxa" w:w="1700"/>
          </w:tcPr>
          <w:p>
            <w:r>
              <w:rPr>
                <w:highlight w:val="yellow"/>
              </w:rPr>
              <w:t xml:space="preserve">[Phone]</w:t>
            </w:r>
          </w:p>
        </w:tc>
        <w:tc>
          <w:tcPr>
            <w:tcW w:type="dxa" w:w="2100"/>
          </w:tcPr>
          <w:p>
            <w:r>
              <w:rPr>
                <w:highlight w:val="yellow"/>
              </w:rPr>
              <w:t xml:space="preserve">[Email]</w:t>
            </w:r>
          </w:p>
        </w:tc>
        <w:tc>
          <w:tcPr>
            <w:tcW w:type="dxa" w:w="1400"/>
          </w:tcPr>
          <w:p>
            <w:r>
              <w:rPr>
                <w:highlight w:val="yellow"/>
              </w:rPr>
              <w:t xml:space="preserve">[Number]</w:t>
            </w:r>
          </w:p>
        </w:tc>
      </w:tr>
    </w:tbl>
    <w:p>
      <w:r>
        <w:t xml:space="preserve">Out-of-band channel, the agreed way to talk when the organization's own systems cannot be trusted: </w:t>
      </w:r>
      <w:r>
        <w:rPr>
          <w:highlight w:val="yellow"/>
        </w:rPr>
        <w:t xml:space="preserve">[Channel and how to join it; where the organization has a BC/DR plan, name the channel that plan names]</w:t>
      </w:r>
    </w:p>
    <w:p>
      <w:r>
        <w:t xml:space="preserve">Where Executive Management cannot be reached in time to meet a notification deadline, or to report ransomware, the Information Security Lead approves the notification and tells Executive Management at the first opportunity (policy Section 3.9).</w:t>
      </w:r>
    </w:p>
    <w:p>
      <w:pPr>
        <w:pStyle w:val="Heading1"/>
      </w:pPr>
      <w:r>
        <w:t xml:space="preserve">2.0 Outside Help</w:t>
      </w:r>
    </w:p>
    <w:p>
      <w:r>
        <w:t xml:space="preserve">The policy requires the organization to arrange this help before it is needed (its Section 3.2), and to confirm which bodies are owed notice, and how quickly, before an incident rather than during one (its Section 3.9). Where the organization has cyber insurance, check whether the firm handling an incident is on the insurer's approved panel (its list of approved vendors). An insurance policy that names an approved panel, or that requires the insurer's written consent before a firm is engaged, may not cover the cost of a firm chosen outside it.</w:t>
      </w:r>
    </w:p>
    <w:tbl>
      <w:tblPr>
        <w:tblStyle w:val="TableGrid"/>
        <w:tblW w:type="auto" w:w="0"/>
        <w:tblLook w:firstColumn="1" w:firstRow="1" w:lastColumn="0" w:lastRow="0" w:noHBand="0" w:noVBand="1" w:val="04A0"/>
      </w:tblPr>
      <w:tblGrid>
        <w:gridCol w:w="3100"/>
        <w:gridCol w:w="2500"/>
        <w:gridCol w:w="1400"/>
        <w:gridCol w:w="1300"/>
        <w:gridCol w:w="2500"/>
      </w:tblGrid>
      <w:tr>
        <w:trPr>
          <w:cantSplit/>
          <w:tblHeader/>
        </w:trPr>
        <w:tc>
          <w:tcPr>
            <w:tcW w:type="dxa" w:w="3100"/>
          </w:tcPr>
          <w:p>
            <w:r>
              <w:rPr>
                <w:b/>
              </w:rPr>
              <w:t xml:space="preserve">Who</w:t>
            </w:r>
          </w:p>
        </w:tc>
        <w:tc>
          <w:tcPr>
            <w:tcW w:type="dxa" w:w="2500"/>
          </w:tcPr>
          <w:p>
            <w:r>
              <w:rPr>
                <w:b/>
              </w:rPr>
              <w:t xml:space="preserve">Name or firm</w:t>
            </w:r>
          </w:p>
        </w:tc>
        <w:tc>
          <w:tcPr>
            <w:tcW w:type="dxa" w:w="1400"/>
          </w:tcPr>
          <w:p>
            <w:r>
              <w:rPr>
                <w:b/>
              </w:rPr>
              <w:t xml:space="preserve">Phone</w:t>
            </w:r>
          </w:p>
        </w:tc>
        <w:tc>
          <w:tcPr>
            <w:tcW w:type="dxa" w:w="1300"/>
          </w:tcPr>
          <w:p>
            <w:r>
              <w:rPr>
                <w:b/>
              </w:rPr>
              <w:t xml:space="preserve">After hours</w:t>
            </w:r>
          </w:p>
        </w:tc>
        <w:tc>
          <w:tcPr>
            <w:tcW w:type="dxa" w:w="2500"/>
          </w:tcPr>
          <w:p>
            <w:r>
              <w:rPr>
                <w:b/>
              </w:rPr>
              <w:t xml:space="preserve">Reference</w:t>
            </w:r>
          </w:p>
        </w:tc>
      </w:tr>
      <w:tr>
        <w:trPr>
          <w:cantSplit/>
        </w:trPr>
        <w:tc>
          <w:tcPr>
            <w:tcW w:type="dxa" w:w="3100"/>
          </w:tcPr>
          <w:p>
            <w:r>
              <w:t xml:space="preserve">Incident response and forensics firm (or the insurer's response panel)</w:t>
            </w:r>
          </w:p>
        </w:tc>
        <w:tc>
          <w:tcPr>
            <w:tcW w:type="dxa" w:w="2500"/>
          </w:tcPr>
          <w:p>
            <w:r>
              <w:rPr>
                <w:highlight w:val="yellow"/>
              </w:rPr>
              <w:t xml:space="preserve">[Firm or panel name]</w:t>
            </w:r>
          </w:p>
        </w:tc>
        <w:tc>
          <w:tcPr>
            <w:tcW w:type="dxa" w:w="1400"/>
          </w:tcPr>
          <w:p>
            <w:r>
              <w:rPr>
                <w:highlight w:val="yellow"/>
              </w:rPr>
              <w:t xml:space="preserve">[Phone]</w:t>
            </w:r>
          </w:p>
        </w:tc>
        <w:tc>
          <w:tcPr>
            <w:tcW w:type="dxa" w:w="1300"/>
          </w:tcPr>
          <w:p>
            <w:r>
              <w:rPr>
                <w:highlight w:val="yellow"/>
              </w:rPr>
              <w:t xml:space="preserve">[Number]</w:t>
            </w:r>
          </w:p>
        </w:tc>
        <w:tc>
          <w:tcPr>
            <w:tcW w:type="dxa" w:w="2500"/>
          </w:tcPr>
          <w:p>
            <w:r>
              <w:rPr>
                <w:highlight w:val="yellow"/>
              </w:rPr>
              <w:t xml:space="preserve">[Retainer or panel reference]</w:t>
            </w:r>
          </w:p>
        </w:tc>
      </w:tr>
      <w:tr>
        <w:trPr>
          <w:cantSplit/>
        </w:trPr>
        <w:tc>
          <w:tcPr>
            <w:tcW w:type="dxa" w:w="3100"/>
          </w:tcPr>
          <w:p>
            <w:r>
              <w:t xml:space="preserve">Cyber insurance claims line</w:t>
            </w:r>
          </w:p>
        </w:tc>
        <w:tc>
          <w:tcPr>
            <w:tcW w:type="dxa" w:w="2500"/>
          </w:tcPr>
          <w:p>
            <w:r>
              <w:rPr>
                <w:highlight w:val="yellow"/>
              </w:rPr>
              <w:t xml:space="preserve">[Insurer]</w:t>
            </w:r>
          </w:p>
        </w:tc>
        <w:tc>
          <w:tcPr>
            <w:tcW w:type="dxa" w:w="1400"/>
          </w:tcPr>
          <w:p>
            <w:r>
              <w:rPr>
                <w:highlight w:val="yellow"/>
              </w:rPr>
              <w:t xml:space="preserve">[Phone]</w:t>
            </w:r>
          </w:p>
        </w:tc>
        <w:tc>
          <w:tcPr>
            <w:tcW w:type="dxa" w:w="1300"/>
          </w:tcPr>
          <w:p>
            <w:r>
              <w:rPr>
                <w:highlight w:val="yellow"/>
              </w:rPr>
              <w:t xml:space="preserve">[Number]</w:t>
            </w:r>
          </w:p>
        </w:tc>
        <w:tc>
          <w:tcPr>
            <w:tcW w:type="dxa" w:w="2500"/>
          </w:tcPr>
          <w:p>
            <w:r>
              <w:rPr>
                <w:highlight w:val="yellow"/>
              </w:rPr>
              <w:t xml:space="preserve">[Policy number; claims line hours; notification deadline]</w:t>
            </w:r>
          </w:p>
        </w:tc>
      </w:tr>
      <w:tr>
        <w:trPr>
          <w:cantSplit/>
        </w:trPr>
        <w:tc>
          <w:tcPr>
            <w:tcW w:type="dxa" w:w="3100"/>
          </w:tcPr>
          <w:p>
            <w:r>
              <w:t xml:space="preserve">Legal counsel for incidents</w:t>
            </w:r>
          </w:p>
        </w:tc>
        <w:tc>
          <w:tcPr>
            <w:tcW w:type="dxa" w:w="2500"/>
          </w:tcPr>
          <w:p>
            <w:r>
              <w:rPr>
                <w:highlight w:val="yellow"/>
              </w:rPr>
              <w:t xml:space="preserve">[Firm and named contact]</w:t>
            </w:r>
          </w:p>
        </w:tc>
        <w:tc>
          <w:tcPr>
            <w:tcW w:type="dxa" w:w="1400"/>
          </w:tcPr>
          <w:p>
            <w:r>
              <w:rPr>
                <w:highlight w:val="yellow"/>
              </w:rPr>
              <w:t xml:space="preserve">[Phone]</w:t>
            </w:r>
          </w:p>
        </w:tc>
        <w:tc>
          <w:tcPr>
            <w:tcW w:type="dxa" w:w="1300"/>
          </w:tcPr>
          <w:p>
            <w:r>
              <w:rPr>
                <w:highlight w:val="yellow"/>
              </w:rPr>
              <w:t xml:space="preserve">[Number]</w:t>
            </w:r>
          </w:p>
        </w:tc>
        <w:tc>
          <w:tcPr>
            <w:tcW w:type="dxa" w:w="2500"/>
          </w:tcPr>
          <w:p>
            <w:r>
              <w:rPr>
                <w:highlight w:val="yellow"/>
              </w:rPr>
              <w:t xml:space="preserve">[Engagement or matter reference]</w:t>
            </w:r>
          </w:p>
        </w:tc>
      </w:tr>
      <w:tr>
        <w:trPr>
          <w:cantSplit/>
        </w:trPr>
        <w:tc>
          <w:tcPr>
            <w:tcW w:type="dxa" w:w="3100"/>
          </w:tcPr>
          <w:p>
            <w:r>
              <w:t xml:space="preserve">Bank or payment provider fraud line (whoever holds the banking relationship makes this call, policy Section 3.6)</w:t>
            </w:r>
          </w:p>
        </w:tc>
        <w:tc>
          <w:tcPr>
            <w:tcW w:type="dxa" w:w="2500"/>
          </w:tcPr>
          <w:p>
            <w:r>
              <w:rPr>
                <w:highlight w:val="yellow"/>
              </w:rPr>
              <w:t xml:space="preserve">[Bank and account contact]</w:t>
            </w:r>
          </w:p>
        </w:tc>
        <w:tc>
          <w:tcPr>
            <w:tcW w:type="dxa" w:w="1400"/>
          </w:tcPr>
          <w:p>
            <w:r>
              <w:rPr>
                <w:highlight w:val="yellow"/>
              </w:rPr>
              <w:t xml:space="preserve">[Phone]</w:t>
            </w:r>
          </w:p>
        </w:tc>
        <w:tc>
          <w:tcPr>
            <w:tcW w:type="dxa" w:w="1300"/>
          </w:tcPr>
          <w:p>
            <w:r>
              <w:rPr>
                <w:highlight w:val="yellow"/>
              </w:rPr>
              <w:t xml:space="preserve">[Number]</w:t>
            </w:r>
          </w:p>
        </w:tc>
        <w:tc>
          <w:tcPr>
            <w:tcW w:type="dxa" w:w="2500"/>
          </w:tcPr>
          <w:p>
            <w:r>
              <w:rPr>
                <w:highlight w:val="yellow"/>
              </w:rPr>
              <w:t xml:space="preserve">[Who holds the banking relationship]</w:t>
            </w:r>
          </w:p>
        </w:tc>
      </w:tr>
      <w:tr>
        <w:trPr>
          <w:cantSplit/>
        </w:trPr>
        <w:tc>
          <w:tcPr>
            <w:tcW w:type="dxa" w:w="3100"/>
          </w:tcPr>
          <w:p>
            <w:r>
              <w:t xml:space="preserve">Law enforcement or the national cybercrime reporting body (in the United States, the FBI Internet Crime Complaint Center, IC3, at ic3.gov, or the local FBI field office)</w:t>
            </w:r>
          </w:p>
        </w:tc>
        <w:tc>
          <w:tcPr>
            <w:tcW w:type="dxa" w:w="2500"/>
          </w:tcPr>
          <w:p>
            <w:r>
              <w:rPr>
                <w:highlight w:val="yellow"/>
              </w:rPr>
              <w:t xml:space="preserve">[Body and office]</w:t>
            </w:r>
          </w:p>
        </w:tc>
        <w:tc>
          <w:tcPr>
            <w:tcW w:type="dxa" w:w="1400"/>
          </w:tcPr>
          <w:p>
            <w:r>
              <w:rPr>
                <w:highlight w:val="yellow"/>
              </w:rPr>
              <w:t xml:space="preserve">[Phone]</w:t>
            </w:r>
          </w:p>
        </w:tc>
        <w:tc>
          <w:tcPr>
            <w:tcW w:type="dxa" w:w="1300"/>
          </w:tcPr>
          <w:p>
            <w:r>
              <w:rPr>
                <w:highlight w:val="yellow"/>
              </w:rPr>
              <w:t xml:space="preserve">[Number]</w:t>
            </w:r>
          </w:p>
        </w:tc>
        <w:tc>
          <w:tcPr>
            <w:tcW w:type="dxa" w:w="2500"/>
          </w:tcPr>
          <w:p>
            <w:r>
              <w:rPr>
                <w:highlight w:val="yellow"/>
              </w:rPr>
              <w:t xml:space="preserve">[Complaint reference, once filed]</w:t>
            </w:r>
          </w:p>
        </w:tc>
      </w:tr>
      <w:tr>
        <w:trPr>
          <w:cantSplit/>
        </w:trPr>
        <w:tc>
          <w:tcPr>
            <w:tcW w:type="dxa" w:w="3100"/>
          </w:tcPr>
          <w:p>
            <w:r>
              <w:t xml:space="preserve">National cyber security agency for the ransomware report (in the United States, CISA, at cisa.gov/report; policy Section 3.7)</w:t>
            </w:r>
          </w:p>
        </w:tc>
        <w:tc>
          <w:tcPr>
            <w:tcW w:type="dxa" w:w="2500"/>
          </w:tcPr>
          <w:p>
            <w:r>
              <w:rPr>
                <w:highlight w:val="yellow"/>
              </w:rPr>
              <w:t xml:space="preserve">[Body]</w:t>
            </w:r>
          </w:p>
        </w:tc>
        <w:tc>
          <w:tcPr>
            <w:tcW w:type="dxa" w:w="1400"/>
          </w:tcPr>
          <w:p>
            <w:r>
              <w:rPr>
                <w:highlight w:val="yellow"/>
              </w:rPr>
              <w:t xml:space="preserve">[Phone]</w:t>
            </w:r>
          </w:p>
        </w:tc>
        <w:tc>
          <w:tcPr>
            <w:tcW w:type="dxa" w:w="1300"/>
          </w:tcPr>
          <w:p>
            <w:r>
              <w:rPr>
                <w:highlight w:val="yellow"/>
              </w:rPr>
              <w:t xml:space="preserve">[Number]</w:t>
            </w:r>
          </w:p>
        </w:tc>
        <w:tc>
          <w:tcPr>
            <w:tcW w:type="dxa" w:w="2500"/>
          </w:tcPr>
          <w:p>
            <w:r>
              <w:rPr>
                <w:highlight w:val="yellow"/>
              </w:rPr>
              <w:t xml:space="preserve">[Report reference, once filed]</w:t>
            </w:r>
          </w:p>
        </w:tc>
      </w:tr>
      <w:tr>
        <w:trPr>
          <w:cantSplit/>
        </w:trPr>
        <w:tc>
          <w:tcPr>
            <w:tcW w:type="dxa" w:w="3100"/>
          </w:tcPr>
          <w:p>
            <w:r>
              <w:t xml:space="preserve">Treasury office for the ransomware report and any payment (in the United States, the Department of the Treasury's Office of Cybersecurity and Critical Infrastructure Protection, OCCIP; policy Section 3.7)</w:t>
            </w:r>
          </w:p>
        </w:tc>
        <w:tc>
          <w:tcPr>
            <w:tcW w:type="dxa" w:w="2500"/>
          </w:tcPr>
          <w:p>
            <w:r>
              <w:rPr>
                <w:highlight w:val="yellow"/>
              </w:rPr>
              <w:t xml:space="preserve">[Body]</w:t>
            </w:r>
          </w:p>
        </w:tc>
        <w:tc>
          <w:tcPr>
            <w:tcW w:type="dxa" w:w="1400"/>
          </w:tcPr>
          <w:p>
            <w:r>
              <w:rPr>
                <w:highlight w:val="yellow"/>
              </w:rPr>
              <w:t xml:space="preserve">[Phone]</w:t>
            </w:r>
          </w:p>
        </w:tc>
        <w:tc>
          <w:tcPr>
            <w:tcW w:type="dxa" w:w="1300"/>
          </w:tcPr>
          <w:p>
            <w:r>
              <w:rPr>
                <w:highlight w:val="yellow"/>
              </w:rPr>
              <w:t xml:space="preserve">[Number]</w:t>
            </w:r>
          </w:p>
        </w:tc>
        <w:tc>
          <w:tcPr>
            <w:tcW w:type="dxa" w:w="2500"/>
          </w:tcPr>
          <w:p>
            <w:r>
              <w:rPr>
                <w:highlight w:val="yellow"/>
              </w:rPr>
              <w:t xml:space="preserve">[Report reference, once filed]</w:t>
            </w:r>
          </w:p>
        </w:tc>
      </w:tr>
      <w:tr>
        <w:trPr>
          <w:cantSplit/>
        </w:trPr>
        <w:tc>
          <w:tcPr>
            <w:tcW w:type="dxa" w:w="3100"/>
          </w:tcPr>
          <w:p>
            <w:r>
              <w:t xml:space="preserve">Regulator or supervisory authority owed notice of a breach (add a row for each; policy Section 3.9)</w:t>
            </w:r>
          </w:p>
        </w:tc>
        <w:tc>
          <w:tcPr>
            <w:tcW w:type="dxa" w:w="2500"/>
          </w:tcPr>
          <w:p>
            <w:r>
              <w:rPr>
                <w:highlight w:val="yellow"/>
              </w:rPr>
              <w:t xml:space="preserve">[Body]</w:t>
            </w:r>
          </w:p>
        </w:tc>
        <w:tc>
          <w:tcPr>
            <w:tcW w:type="dxa" w:w="1400"/>
          </w:tcPr>
          <w:p>
            <w:r>
              <w:rPr>
                <w:highlight w:val="yellow"/>
              </w:rPr>
              <w:t xml:space="preserve">[Phone]</w:t>
            </w:r>
          </w:p>
        </w:tc>
        <w:tc>
          <w:tcPr>
            <w:tcW w:type="dxa" w:w="1300"/>
          </w:tcPr>
          <w:p>
            <w:r>
              <w:rPr>
                <w:highlight w:val="yellow"/>
              </w:rPr>
              <w:t xml:space="preserve">[Number]</w:t>
            </w:r>
          </w:p>
        </w:tc>
        <w:tc>
          <w:tcPr>
            <w:tcW w:type="dxa" w:w="2500"/>
          </w:tcPr>
          <w:p>
            <w:r>
              <w:rPr>
                <w:highlight w:val="yellow"/>
              </w:rPr>
              <w:t xml:space="preserve">[Notification deadline]</w:t>
            </w:r>
          </w:p>
        </w:tc>
      </w:tr>
      <w:tr>
        <w:trPr>
          <w:cantSplit/>
        </w:trPr>
        <w:tc>
          <w:tcPr>
            <w:tcW w:type="dxa" w:w="3100"/>
          </w:tcPr>
          <w:p>
            <w:r>
              <w:t xml:space="preserve">Provider incident contacts (each provider that holds regulated data or runs a critical system, policy Section 3.2)</w:t>
            </w:r>
          </w:p>
        </w:tc>
        <w:tc>
          <w:tcPr>
            <w:tcW w:type="dxa" w:w="2500"/>
          </w:tcPr>
          <w:p>
            <w:r>
              <w:rPr>
                <w:highlight w:val="yellow"/>
              </w:rPr>
              <w:t xml:space="preserve">[Firm and contact, or the vendor record that holds them]</w:t>
            </w:r>
          </w:p>
        </w:tc>
        <w:tc>
          <w:tcPr>
            <w:tcW w:type="dxa" w:w="1400"/>
          </w:tcPr>
          <w:p>
            <w:r>
              <w:rPr>
                <w:highlight w:val="yellow"/>
              </w:rPr>
              <w:t xml:space="preserve">[Phone]</w:t>
            </w:r>
          </w:p>
        </w:tc>
        <w:tc>
          <w:tcPr>
            <w:tcW w:type="dxa" w:w="1300"/>
          </w:tcPr>
          <w:p>
            <w:r>
              <w:rPr>
                <w:highlight w:val="yellow"/>
              </w:rPr>
              <w:t xml:space="preserve">[Number]</w:t>
            </w:r>
          </w:p>
        </w:tc>
        <w:tc>
          <w:tcPr>
            <w:tcW w:type="dxa" w:w="2500"/>
          </w:tcPr>
          <w:p>
            <w:r>
              <w:rPr>
                <w:highlight w:val="yellow"/>
              </w:rPr>
              <w:t xml:space="preserve">[Support or account reference]</w:t>
            </w:r>
          </w:p>
        </w:tc>
      </w:tr>
      <w:tr>
        <w:trPr>
          <w:cantSplit/>
        </w:trPr>
        <w:tc>
          <w:tcPr>
            <w:tcW w:type="dxa" w:w="3100"/>
          </w:tcPr>
          <w:p>
            <w:r>
              <w:rPr>
                <w:highlight w:val="yellow"/>
              </w:rPr>
              <w:t xml:space="preserve">[Information sharing group for the sector or region (an Information Sharing and Analysis Center, or ISAC, in the United States), where the organization belongs to one; policy Section 3.9]</w:t>
            </w:r>
          </w:p>
        </w:tc>
        <w:tc>
          <w:tcPr>
            <w:tcW w:type="dxa" w:w="2500"/>
          </w:tcPr>
          <w:p>
            <w:r>
              <w:rPr>
                <w:highlight w:val="yellow"/>
              </w:rPr>
              <w:t xml:space="preserve">[Group]</w:t>
            </w:r>
          </w:p>
        </w:tc>
        <w:tc>
          <w:tcPr>
            <w:tcW w:type="dxa" w:w="1400"/>
          </w:tcPr>
          <w:p>
            <w:r>
              <w:rPr>
                <w:highlight w:val="yellow"/>
              </w:rPr>
              <w:t xml:space="preserve">[Phone]</w:t>
            </w:r>
          </w:p>
        </w:tc>
        <w:tc>
          <w:tcPr>
            <w:tcW w:type="dxa" w:w="1300"/>
          </w:tcPr>
          <w:p>
            <w:r>
              <w:rPr>
                <w:highlight w:val="yellow"/>
              </w:rPr>
              <w:t xml:space="preserve">[Number]</w:t>
            </w:r>
          </w:p>
        </w:tc>
        <w:tc>
          <w:tcPr>
            <w:tcW w:type="dxa" w:w="2500"/>
          </w:tcPr>
          <w:p>
            <w:r>
              <w:rPr>
                <w:highlight w:val="yellow"/>
              </w:rPr>
              <w:t xml:space="preserve">[Membership reference]</w:t>
            </w:r>
          </w:p>
        </w:tc>
      </w:tr>
    </w:tbl>
    <w:p>
      <w:pPr>
        <w:pStyle w:val="Heading1"/>
      </w:pPr>
      <w:r>
        <w:t xml:space="preserve">3.0 The First Hour</w:t>
      </w:r>
    </w:p>
    <w:p>
      <w:r>
        <w:t xml:space="preserve">Report to the contact in the first row of Section 1.0 above, and preserve the evidence at the same time. This section is a short form of the policy; the policy governs the details.</w:t>
      </w:r>
    </w:p>
    <w:p>
      <w:r>
        <w:rPr>
          <w:b/>
        </w:rPr>
        <w:t xml:space="preserve">If you find a possible incident:</w:t>
      </w:r>
    </w:p>
    <w:p>
      <w:pPr>
        <w:pStyle w:val="ListBullet"/>
      </w:pPr>
      <w:r>
        <w:t xml:space="preserve">Report at once. Anything that looks serious cannot wait for the next working day; when unsure, treat it as serious. Say what happened, when, which systems or data are involved, and how to reach you. A report to any manager counts; the manager passes it on. Where the concern involves the Information Security Lead, or anyone named in Section 1.0 above other than Executive Management, report to Executive Management instead. Where it involves Executive Management, report to the Board of Directors or the owners; where there is neither, report to the outside contact named in Section 1.0 above (policy Section 7.0).</w:t>
      </w:r>
    </w:p>
    <w:p>
      <w:pPr>
        <w:pStyle w:val="ListBullet"/>
      </w:pPr>
      <w:r>
        <w:t xml:space="preserve">Do not switch off an affected device; switching it off destroys evidence held only in memory. Lock the screen so nobody uses it, and take the device off the network: unplug the network cable and turn off Wi-Fi. Where you cannot disconnect a device that is spreading an infection, switch it off and say so when you report.</w:t>
      </w:r>
    </w:p>
    <w:p>
      <w:pPr>
        <w:pStyle w:val="ListBullet"/>
      </w:pPr>
      <w:r>
        <w:t xml:space="preserve">Do not delete anything, do not reply to or forward a suspicious message, and do not pay or promise payment. Only Executive Management can authorize a payment or negotiation, after legal advice and a sanctions check (policy Section 3.7).</w:t>
      </w:r>
    </w:p>
    <w:p>
      <w:pPr>
        <w:pStyle w:val="ListBullet"/>
      </w:pPr>
      <w:r>
        <w:t xml:space="preserve">Write down what you saw and when. Leave the message, file, or screen as it is; it is evidence (policy Section 7.0; responders then handle it under Section 3.8).</w:t>
      </w:r>
    </w:p>
    <w:p>
      <w:r>
        <w:rPr>
          <w:b/>
        </w:rPr>
        <w:t xml:space="preserve">Once it is reported:</w:t>
      </w:r>
    </w:p>
    <w:p>
      <w:pPr>
        <w:pStyle w:val="ListBullet"/>
      </w:pPr>
      <w:r>
        <w:t xml:space="preserve">The Information Security Lead, or the alternate, declares the incident, sets the severity (Section 4.0 below), and starts the log (Section 5.0 below). Where the organization's own email or chat may be compromised, or is unavailable, the response moves to the out-of-band channel in Section 1.0 above and stays there until the Lead says otherwise (policy Section 3.9).</w:t>
      </w:r>
    </w:p>
    <w:p>
      <w:pPr>
        <w:pStyle w:val="ListBullet"/>
      </w:pPr>
      <w:r>
        <w:t xml:space="preserve">Security operations contains obvious, active harm at once, before any declaration. For a fraudulent payment or business email compromise (BEC: fraud run through a compromised or impersonated business email account), follow the policy's Section 3.6 at once: whoever holds the banking relationship calls the bank first, asking in the same call for a recall and for a hold harmless letter or letter of indemnity. Security operations reports the fraud to law enforcement whatever the amount (Section 2.0 above). It then secures every account involved: it resets the password, revokes the account's sessions, and removes any forwarding rule, inbox rule, delegation, app password, connected application, or administrator role the holder did not set up, recording each one first, and it restores the recovery address and phone to the holder's own. A password reset on its own leaves all of these in place.</w:t>
      </w:r>
    </w:p>
    <w:p>
      <w:pPr>
        <w:pStyle w:val="ListBullet"/>
      </w:pPr>
      <w:r>
        <w:t xml:space="preserve">Where the organization has cyber insurance, tell the insurer before the organization engages outside forensics or starts major remediation, and without delaying containment. Engaging others first can cost the organization the claim (policy Section 3.5).</w:t>
      </w:r>
    </w:p>
    <w:p>
      <w:pPr>
        <w:pStyle w:val="ListBullet"/>
      </w:pPr>
      <w:r>
        <w:t xml:space="preserve">For ransomware or an extortion demand, the executive-approved representative reports it as soon as possible after discovery, to law enforcement, the national cyber security agency, and the Treasury office in Section 2.0 above, unless legal counsel advises otherwise. The representative sends that report before anyone has worked out who is behind the attack. Recovery runs under the BC/DR plan's ransomware runbook (policy Section 3.7).</w:t>
      </w:r>
    </w:p>
    <w:p>
      <w:pPr>
        <w:pStyle w:val="ListBullet"/>
      </w:pPr>
      <w:r>
        <w:t xml:space="preserve">Keep the logs and backups from expiring. Security operations suspends log rotation and backup expiry for the systems involved. Both run on a schedule, and either one can delete the evidence or the clean restore point while the response is still running (policy Sections 3.5 and 3.8).</w:t>
      </w:r>
    </w:p>
    <w:p>
      <w:pPr>
        <w:pStyle w:val="Heading1"/>
      </w:pPr>
      <w:r>
        <w:t xml:space="preserve">4.0 Severity and Response Targets</w:t>
      </w:r>
    </w:p>
    <w:p>
      <w:r>
        <w:t xml:space="preserve">The levels come from the policy's Appendix 1. Copy the targets set there so this sheet can be used on its own, and change both copies whenever either one changes.</w:t>
      </w:r>
    </w:p>
    <w:p>
      <w:r>
        <w:t xml:space="preserve">The clock for a High or Critical target runs at any hour, every day; the clock for a Low or Medium target runs in business hours only. All of them run from the moment a system or a person first detects or reports the incident, whichever comes first, and a responder meets the target once they have taken charge, started triage, and begun containment where it is needed. Where nobody watches alerts around the clock, the clock still starts at the alert, so the wait until someone sees it counts against the target. Until triage sets a severity, treat the report as the most severe it could reasonably be: a suspected breach is High until assessed, and a fraudulent payment is at least High. High and Critical are significant incidents: each is escalated to the Information Security Lead and gets a post-incident review (policy Section 3.10). When the severity changes, the new level's target runs from the moment of the change. Where the organization's own written definition of a significant incident disagrees with these levels on a live incident, treat the incident as significant.</w:t>
      </w:r>
    </w:p>
    <w:tbl>
      <w:tblPr>
        <w:tblStyle w:val="TableGrid"/>
        <w:tblW w:type="auto" w:w="0"/>
        <w:tblLook w:firstColumn="1" w:firstRow="1" w:lastColumn="0" w:lastRow="0" w:noHBand="0" w:noVBand="1" w:val="04A0"/>
      </w:tblPr>
      <w:tblGrid>
        <w:gridCol w:w="1100"/>
        <w:gridCol w:w="6500"/>
        <w:gridCol w:w="3200"/>
      </w:tblGrid>
      <w:tr>
        <w:trPr>
          <w:cantSplit/>
          <w:tblHeader/>
        </w:trPr>
        <w:tc>
          <w:tcPr>
            <w:tcW w:type="dxa" w:w="1100"/>
          </w:tcPr>
          <w:p>
            <w:r>
              <w:rPr>
                <w:b/>
              </w:rPr>
              <w:t xml:space="preserve">Level</w:t>
            </w:r>
          </w:p>
        </w:tc>
        <w:tc>
          <w:tcPr>
            <w:tcW w:type="dxa" w:w="6500"/>
          </w:tcPr>
          <w:p>
            <w:r>
              <w:rPr>
                <w:b/>
              </w:rPr>
              <w:t xml:space="preserve">What it looks like</w:t>
            </w:r>
          </w:p>
        </w:tc>
        <w:tc>
          <w:tcPr>
            <w:tcW w:type="dxa" w:w="3200"/>
          </w:tcPr>
          <w:p>
            <w:r>
              <w:rPr>
                <w:b/>
              </w:rPr>
              <w:t xml:space="preserve">Initial response target (as set in the policy)</w:t>
            </w:r>
          </w:p>
        </w:tc>
      </w:tr>
      <w:tr>
        <w:trPr>
          <w:cantSplit/>
        </w:trPr>
        <w:tc>
          <w:tcPr>
            <w:tcW w:type="dxa" w:w="1100"/>
          </w:tcPr>
          <w:p>
            <w:r>
              <w:t xml:space="preserve">Low</w:t>
            </w:r>
          </w:p>
        </w:tc>
        <w:tc>
          <w:tcPr>
            <w:tcW w:type="dxa" w:w="6500"/>
          </w:tcPr>
          <w:p>
            <w:r>
              <w:t xml:space="preserve">Minor and limited in extent; no sensitive or personal information; little or no disruption; no legal, regulatory, or contractual duty.</w:t>
            </w:r>
          </w:p>
        </w:tc>
        <w:tc>
          <w:tcPr>
            <w:tcW w:type="dxa" w:w="3200"/>
          </w:tcPr>
          <w:p>
            <w:r>
              <w:rPr>
                <w:highlight w:val="yellow"/>
              </w:rPr>
              <w:t xml:space="preserve">[Next business day]</w:t>
            </w:r>
          </w:p>
        </w:tc>
      </w:tr>
      <w:tr>
        <w:trPr>
          <w:cantSplit/>
        </w:trPr>
        <w:tc>
          <w:tcPr>
            <w:tcW w:type="dxa" w:w="1100"/>
          </w:tcPr>
          <w:p>
            <w:r>
              <w:t xml:space="preserve">Medium</w:t>
            </w:r>
          </w:p>
        </w:tc>
        <w:tc>
          <w:tcPr>
            <w:tcW w:type="dxa" w:w="6500"/>
          </w:tcPr>
          <w:p>
            <w:r>
              <w:t xml:space="preserve">Sensitive or personal information involved but exposure unlikely, or some disruption; a legal, regulatory, or contractual duty is unlikely.</w:t>
            </w:r>
          </w:p>
        </w:tc>
        <w:tc>
          <w:tcPr>
            <w:tcW w:type="dxa" w:w="3200"/>
          </w:tcPr>
          <w:p>
            <w:r>
              <w:rPr>
                <w:highlight w:val="yellow"/>
              </w:rPr>
              <w:t xml:space="preserve">[Within 4 business hours]</w:t>
            </w:r>
          </w:p>
        </w:tc>
      </w:tr>
      <w:tr>
        <w:trPr>
          <w:cantSplit/>
        </w:trPr>
        <w:tc>
          <w:tcPr>
            <w:tcW w:type="dxa" w:w="1100"/>
          </w:tcPr>
          <w:p>
            <w:r>
              <w:t xml:space="preserve">High</w:t>
            </w:r>
          </w:p>
        </w:tc>
        <w:tc>
          <w:tcPr>
            <w:tcW w:type="dxa" w:w="6500"/>
          </w:tcPr>
          <w:p>
            <w:r>
              <w:t xml:space="preserve">Any of: sensitive or personal information likely exposed; significant disruption; a fraudulent payment or major financial loss; a legal, regulatory, or contractual duty is likely. Escalate it to the Information Security Lead, who reports it to Executive Management.</w:t>
            </w:r>
          </w:p>
        </w:tc>
        <w:tc>
          <w:tcPr>
            <w:tcW w:type="dxa" w:w="3200"/>
          </w:tcPr>
          <w:p>
            <w:r>
              <w:rPr>
                <w:highlight w:val="yellow"/>
              </w:rPr>
              <w:t xml:space="preserve">[Within 1 hour]</w:t>
            </w:r>
          </w:p>
        </w:tc>
      </w:tr>
      <w:tr>
        <w:trPr>
          <w:cantSplit/>
        </w:trPr>
        <w:tc>
          <w:tcPr>
            <w:tcW w:type="dxa" w:w="1100"/>
          </w:tcPr>
          <w:p>
            <w:r>
              <w:t xml:space="preserve">Critical</w:t>
            </w:r>
          </w:p>
        </w:tc>
        <w:tc>
          <w:tcPr>
            <w:tcW w:type="dxa" w:w="6500"/>
          </w:tcPr>
          <w:p>
            <w:r>
              <w:t xml:space="preserve">Any of: a confirmed breach of sensitive or personal information; an outage that stops a critical activity (one the business cannot go without for long); an active attacker. The Information Security Lead brings in Executive Management at once.</w:t>
            </w:r>
          </w:p>
        </w:tc>
        <w:tc>
          <w:tcPr>
            <w:tcW w:type="dxa" w:w="3200"/>
          </w:tcPr>
          <w:p>
            <w:r>
              <w:rPr>
                <w:highlight w:val="yellow"/>
              </w:rPr>
              <w:t xml:space="preserve">[Immediate]</w:t>
            </w:r>
          </w:p>
        </w:tc>
      </w:tr>
    </w:tbl>
    <w:p>
      <w:pPr>
        <w:pStyle w:val="Heading1"/>
      </w:pPr>
      <w:r>
        <w:t xml:space="preserve">5.0 Incident Log</w:t>
      </w:r>
    </w:p>
    <w:p>
      <w:pPr>
        <w:keepNext/>
      </w:pPr>
      <w:r>
        <w:t xml:space="preserve">Start the log at the first action anyone takes, which is often before the Information Security Lead declares the incident. Its first entries cover what the person who found the incident saw, and any containment security operations carried out at once. It is the running record of actions and times the policy requires (its Section 3.5): what happened, what was done, who did it, and when. An entry looks like "Locked the affected account; saved the suspicious message unopened". After the incident closes, copy it into the full incident record in the policy's Appendix 1, which also covers the systems affected, the notification decision, the root cause, and the corrective actions. Keep the filled-in sheet as well as the copy; it is the record written at the time. Restrict access to it as the policy's Section 3.8 requires, hold it where litigation is possible, and retain it under the Data Handling Policy's retention schedule.</w:t>
      </w:r>
    </w:p>
    <w:tbl>
      <w:tblPr>
        <w:tblStyle w:val="TableGrid"/>
        <w:tblW w:type="auto" w:w="0"/>
        <w:tblLook w:firstColumn="1" w:firstRow="1" w:lastColumn="0" w:lastRow="0" w:noHBand="0" w:noVBand="1" w:val="04A0"/>
      </w:tblPr>
      <w:tblGrid>
        <w:gridCol w:w="1900"/>
        <w:gridCol w:w="2300"/>
        <w:gridCol w:w="1000"/>
        <w:gridCol w:w="1500"/>
        <w:gridCol w:w="1300"/>
        <w:gridCol w:w="2800"/>
      </w:tblGrid>
      <w:tr>
        <w:trPr>
          <w:cantSplit/>
        </w:trPr>
        <w:tc>
          <w:tcPr>
            <w:tcW w:type="dxa" w:w="1900"/>
          </w:tcPr>
          <w:p>
            <w:pPr>
              <w:keepNext/>
            </w:pPr>
            <w:r>
              <w:t xml:space="preserve">Incident reference</w:t>
            </w:r>
          </w:p>
        </w:tc>
        <w:tc>
          <w:tcPr>
            <w:tcW w:type="dxa" w:w="2300"/>
          </w:tcPr>
          <w:p>
            <w:pPr>
              <w:keepNext/>
            </w:pPr>
            <w:r>
              <w:rPr>
                <w:highlight w:val="yellow"/>
              </w:rPr>
              <w:t xml:space="preserve">[Reference]</w:t>
            </w:r>
          </w:p>
        </w:tc>
        <w:tc>
          <w:tcPr>
            <w:tcW w:type="dxa" w:w="1000"/>
          </w:tcPr>
          <w:p>
            <w:pPr>
              <w:keepNext/>
            </w:pPr>
            <w:r>
              <w:t xml:space="preserve">Date</w:t>
            </w:r>
          </w:p>
        </w:tc>
        <w:tc>
          <w:tcPr>
            <w:tcW w:type="dxa" w:w="1500"/>
          </w:tcPr>
          <w:p>
            <w:pPr>
              <w:keepNext/>
            </w:pPr>
            <w:r>
              <w:rPr>
                <w:highlight w:val="yellow"/>
              </w:rPr>
              <w:t xml:space="preserve">[Date]</w:t>
            </w:r>
          </w:p>
        </w:tc>
        <w:tc>
          <w:tcPr>
            <w:tcW w:type="dxa" w:w="1300"/>
          </w:tcPr>
          <w:p>
            <w:pPr>
              <w:keepNext/>
            </w:pPr>
            <w:r>
              <w:t xml:space="preserve">Severity</w:t>
            </w:r>
          </w:p>
        </w:tc>
        <w:tc>
          <w:tcPr>
            <w:tcW w:type="dxa" w:w="2800"/>
          </w:tcPr>
          <w:p>
            <w:pPr>
              <w:keepNext/>
            </w:pPr>
            <w:r>
              <w:rPr>
                <w:highlight w:val="yellow"/>
              </w:rPr>
              <w:t xml:space="preserve">[Level]</w:t>
            </w:r>
          </w:p>
        </w:tc>
      </w:tr>
    </w:tbl>
    <w:p>
      <w:pPr>
        <w:spacing w:before="0" w:after="0" w:line="20" w:lineRule="exact"/>
      </w:pPr>
      <w:r>
        <w:rPr>
          <w:sz w:val="4"/>
          <w:szCs w:val="4"/>
        </w:rPr>
      </w:r>
    </w:p>
    <w:tbl>
      <w:tblPr>
        <w:tblStyle w:val="TableGrid"/>
        <w:tblW w:type="auto" w:w="0"/>
        <w:tblLook w:firstColumn="1" w:firstRow="1" w:lastColumn="0" w:lastRow="0" w:noHBand="0" w:noVBand="1" w:val="04A0"/>
      </w:tblPr>
      <w:tblGrid>
        <w:gridCol w:w="2000"/>
        <w:gridCol w:w="4700"/>
        <w:gridCol w:w="1700"/>
        <w:gridCol w:w="2400"/>
      </w:tblGrid>
      <w:tr>
        <w:trPr>
          <w:cantSplit/>
          <w:tblHeader/>
        </w:trPr>
        <w:tc>
          <w:tcPr>
            <w:tcW w:type="dxa" w:w="2000"/>
          </w:tcPr>
          <w:p>
            <w:r>
              <w:rPr>
                <w:b/>
              </w:rPr>
              <w:t xml:space="preserve">When</w:t>
            </w:r>
          </w:p>
        </w:tc>
        <w:tc>
          <w:tcPr>
            <w:tcW w:type="dxa" w:w="4700"/>
          </w:tcPr>
          <w:p>
            <w:r>
              <w:rPr>
                <w:b/>
              </w:rPr>
              <w:t xml:space="preserve">What happened or was done</w:t>
            </w:r>
          </w:p>
        </w:tc>
        <w:tc>
          <w:tcPr>
            <w:tcW w:type="dxa" w:w="1700"/>
          </w:tcPr>
          <w:p>
            <w:r>
              <w:rPr>
                <w:b/>
              </w:rPr>
              <w:t xml:space="preserve">Who</w:t>
            </w:r>
          </w:p>
        </w:tc>
        <w:tc>
          <w:tcPr>
            <w:tcW w:type="dxa" w:w="2400"/>
          </w:tcPr>
          <w:p>
            <w:r>
              <w:rPr>
                <w:b/>
              </w:rPr>
              <w:t xml:space="preserve">Evidence kept</w:t>
            </w:r>
          </w:p>
        </w:tc>
      </w:tr>
      <w:tr>
        <w:trPr>
          <w:cantSplit/>
          <w:trHeight w:hRule="atLeast" w:val="576"/>
        </w:trPr>
        <w:tc>
          <w:tcPr>
            <w:tcW w:type="dxa" w:w="2000"/>
          </w:tcPr>
          <w:p>
            <w:r>
              <w:rPr>
                <w:highlight w:val="yellow"/>
              </w:rPr>
              <w:t xml:space="preserve">[Date and time]</w:t>
            </w:r>
          </w:p>
        </w:tc>
        <w:tc>
          <w:tcPr>
            <w:tcW w:type="dxa" w:w="4700"/>
          </w:tcPr>
          <w:p>
            <w:r>
              <w:rPr>
                <w:highlight w:val="yellow"/>
              </w:rPr>
              <w:t xml:space="preserve">[What was done]</w:t>
            </w:r>
          </w:p>
        </w:tc>
        <w:tc>
          <w:tcPr>
            <w:tcW w:type="dxa" w:w="1700"/>
          </w:tcPr>
          <w:p>
            <w:r>
              <w:rPr>
                <w:highlight w:val="yellow"/>
              </w:rPr>
              <w:t xml:space="preserve">[Who]</w:t>
            </w:r>
          </w:p>
        </w:tc>
        <w:tc>
          <w:tcPr>
            <w:tcW w:type="dxa" w:w="2400"/>
          </w:tcPr>
          <w:p>
            <w:r>
              <w:rPr>
                <w:highlight w:val="yellow"/>
              </w:rPr>
              <w:t xml:space="preserve">[Where the copy or screenshot lives]</w:t>
            </w:r>
          </w:p>
        </w:tc>
      </w:tr>
      <w:tr>
        <w:trPr>
          <w:cantSplit/>
          <w:trHeight w:hRule="atLeast" w:val="576"/>
        </w:trPr>
        <w:tc>
          <w:tcPr>
            <w:tcW w:type="dxa" w:w="2000"/>
          </w:tcPr>
          <w:p/>
        </w:tc>
        <w:tc>
          <w:tcPr>
            <w:tcW w:type="dxa" w:w="4700"/>
          </w:tcPr>
          <w:p/>
        </w:tc>
        <w:tc>
          <w:tcPr>
            <w:tcW w:type="dxa" w:w="1700"/>
          </w:tcPr>
          <w:p/>
        </w:tc>
        <w:tc>
          <w:tcPr>
            <w:tcW w:type="dxa" w:w="2400"/>
          </w:tcPr>
          <w:p/>
        </w:tc>
      </w:tr>
      <w:tr>
        <w:trPr>
          <w:cantSplit/>
          <w:trHeight w:hRule="atLeast" w:val="576"/>
        </w:trPr>
        <w:tc>
          <w:tcPr>
            <w:tcW w:type="dxa" w:w="2000"/>
          </w:tcPr>
          <w:p/>
        </w:tc>
        <w:tc>
          <w:tcPr>
            <w:tcW w:type="dxa" w:w="4700"/>
          </w:tcPr>
          <w:p/>
        </w:tc>
        <w:tc>
          <w:tcPr>
            <w:tcW w:type="dxa" w:w="1700"/>
          </w:tcPr>
          <w:p/>
        </w:tc>
        <w:tc>
          <w:tcPr>
            <w:tcW w:type="dxa" w:w="2400"/>
          </w:tcPr>
          <w:p/>
        </w:tc>
      </w:tr>
      <w:tr>
        <w:trPr>
          <w:cantSplit/>
          <w:trHeight w:hRule="atLeast" w:val="576"/>
        </w:trPr>
        <w:tc>
          <w:tcPr>
            <w:tcW w:type="dxa" w:w="2000"/>
          </w:tcPr>
          <w:p/>
        </w:tc>
        <w:tc>
          <w:tcPr>
            <w:tcW w:type="dxa" w:w="4700"/>
          </w:tcPr>
          <w:p/>
        </w:tc>
        <w:tc>
          <w:tcPr>
            <w:tcW w:type="dxa" w:w="1700"/>
          </w:tcPr>
          <w:p/>
        </w:tc>
        <w:tc>
          <w:tcPr>
            <w:tcW w:type="dxa" w:w="2400"/>
          </w:tcPr>
          <w:p/>
        </w:tc>
      </w:tr>
      <w:tr>
        <w:trPr>
          <w:cantSplit/>
          <w:trHeight w:hRule="atLeast" w:val="576"/>
        </w:trPr>
        <w:tc>
          <w:tcPr>
            <w:tcW w:type="dxa" w:w="2000"/>
          </w:tcPr>
          <w:p/>
        </w:tc>
        <w:tc>
          <w:tcPr>
            <w:tcW w:type="dxa" w:w="4700"/>
          </w:tcPr>
          <w:p/>
        </w:tc>
        <w:tc>
          <w:tcPr>
            <w:tcW w:type="dxa" w:w="1700"/>
          </w:tcPr>
          <w:p/>
        </w:tc>
        <w:tc>
          <w:tcPr>
            <w:tcW w:type="dxa" w:w="2400"/>
          </w:tcPr>
          <w:p/>
        </w:tc>
      </w:tr>
      <w:tr>
        <w:trPr>
          <w:cantSplit/>
          <w:trHeight w:hRule="atLeast" w:val="576"/>
        </w:trPr>
        <w:tc>
          <w:tcPr>
            <w:tcW w:type="dxa" w:w="2000"/>
          </w:tcPr>
          <w:p/>
        </w:tc>
        <w:tc>
          <w:tcPr>
            <w:tcW w:type="dxa" w:w="4700"/>
          </w:tcPr>
          <w:p/>
        </w:tc>
        <w:tc>
          <w:tcPr>
            <w:tcW w:type="dxa" w:w="1700"/>
          </w:tcPr>
          <w:p/>
        </w:tc>
        <w:tc>
          <w:tcPr>
            <w:tcW w:type="dxa" w:w="2400"/>
          </w:tcPr>
          <w:p/>
        </w:tc>
      </w:tr>
      <w:tr>
        <w:trPr>
          <w:cantSplit/>
          <w:trHeight w:hRule="atLeast" w:val="576"/>
        </w:trPr>
        <w:tc>
          <w:tcPr>
            <w:tcW w:type="dxa" w:w="2000"/>
          </w:tcPr>
          <w:p/>
        </w:tc>
        <w:tc>
          <w:tcPr>
            <w:tcW w:type="dxa" w:w="4700"/>
          </w:tcPr>
          <w:p/>
        </w:tc>
        <w:tc>
          <w:tcPr>
            <w:tcW w:type="dxa" w:w="1700"/>
          </w:tcPr>
          <w:p/>
        </w:tc>
        <w:tc>
          <w:tcPr>
            <w:tcW w:type="dxa" w:w="2400"/>
          </w:tcPr>
          <w:p/>
        </w:tc>
      </w:tr>
      <w:tr>
        <w:trPr>
          <w:cantSplit/>
          <w:trHeight w:hRule="atLeast" w:val="576"/>
        </w:trPr>
        <w:tc>
          <w:tcPr>
            <w:tcW w:type="dxa" w:w="2000"/>
          </w:tcPr>
          <w:p/>
        </w:tc>
        <w:tc>
          <w:tcPr>
            <w:tcW w:type="dxa" w:w="4700"/>
          </w:tcPr>
          <w:p/>
        </w:tc>
        <w:tc>
          <w:tcPr>
            <w:tcW w:type="dxa" w:w="1700"/>
          </w:tcPr>
          <w:p/>
        </w:tc>
        <w:tc>
          <w:tcPr>
            <w:tcW w:type="dxa" w:w="2400"/>
          </w:tcPr>
          <w:p/>
        </w:tc>
      </w:tr>
      <w:tr>
        <w:trPr>
          <w:cantSplit/>
          <w:trHeight w:hRule="atLeast" w:val="576"/>
        </w:trPr>
        <w:tc>
          <w:tcPr>
            <w:tcW w:type="dxa" w:w="2000"/>
          </w:tcPr>
          <w:p/>
        </w:tc>
        <w:tc>
          <w:tcPr>
            <w:tcW w:type="dxa" w:w="4700"/>
          </w:tcPr>
          <w:p/>
        </w:tc>
        <w:tc>
          <w:tcPr>
            <w:tcW w:type="dxa" w:w="1700"/>
          </w:tcPr>
          <w:p/>
        </w:tc>
        <w:tc>
          <w:tcPr>
            <w:tcW w:type="dxa" w:w="2400"/>
          </w:tcPr>
          <w:p/>
        </w:tc>
      </w:tr>
      <w:tr>
        <w:trPr>
          <w:cantSplit/>
          <w:trHeight w:hRule="atLeast" w:val="576"/>
        </w:trPr>
        <w:tc>
          <w:tcPr>
            <w:tcW w:type="dxa" w:w="2000"/>
          </w:tcPr>
          <w:p/>
        </w:tc>
        <w:tc>
          <w:tcPr>
            <w:tcW w:type="dxa" w:w="4700"/>
          </w:tcPr>
          <w:p/>
        </w:tc>
        <w:tc>
          <w:tcPr>
            <w:tcW w:type="dxa" w:w="1700"/>
          </w:tcPr>
          <w:p/>
        </w:tc>
        <w:tc>
          <w:tcPr>
            <w:tcW w:type="dxa" w:w="2400"/>
          </w:tcPr>
          <w:p/>
        </w:tc>
      </w:tr>
      <w:tr>
        <w:trPr>
          <w:cantSplit/>
          <w:trHeight w:hRule="atLeast" w:val="576"/>
        </w:trPr>
        <w:tc>
          <w:tcPr>
            <w:tcW w:type="dxa" w:w="2000"/>
          </w:tcPr>
          <w:p/>
        </w:tc>
        <w:tc>
          <w:tcPr>
            <w:tcW w:type="dxa" w:w="4700"/>
          </w:tcPr>
          <w:p/>
        </w:tc>
        <w:tc>
          <w:tcPr>
            <w:tcW w:type="dxa" w:w="1700"/>
          </w:tcPr>
          <w:p/>
        </w:tc>
        <w:tc>
          <w:tcPr>
            <w:tcW w:type="dxa" w:w="2400"/>
          </w:tcPr>
          <w:p/>
        </w:tc>
      </w:tr>
      <w:tr>
        <w:trPr>
          <w:cantSplit/>
          <w:trHeight w:hRule="atLeast" w:val="576"/>
        </w:trPr>
        <w:tc>
          <w:tcPr>
            <w:tcW w:type="dxa" w:w="2000"/>
          </w:tcPr>
          <w:p/>
        </w:tc>
        <w:tc>
          <w:tcPr>
            <w:tcW w:type="dxa" w:w="4700"/>
          </w:tcPr>
          <w:p/>
        </w:tc>
        <w:tc>
          <w:tcPr>
            <w:tcW w:type="dxa" w:w="1700"/>
          </w:tcPr>
          <w:p/>
        </w:tc>
        <w:tc>
          <w:tcPr>
            <w:tcW w:type="dxa" w:w="2400"/>
          </w:tcPr>
          <w:p/>
        </w:tc>
      </w:tr>
    </w:tbl>
    <w:p>
      <w:r>
        <w:t xml:space="preserve">Continue on a plain sheet, or in the organization's incident tracking system.</w:t>
      </w:r>
    </w:p>
    <w:p>
      <w:pPr>
        <w:pStyle w:val="Heading1"/>
      </w:pPr>
      <w:r>
        <w:t xml:space="preserve">6.0 Completion and Review</w:t>
      </w:r>
    </w:p>
    <w:p>
      <w:r>
        <w:t xml:space="preserve">Complete Sections 1.0, 2.0, 4.0, and 6.0 before the Incident Response Policy takes effect. Section 5.0's log stays blank until an incident happens. The Information Security Lead keeps this sheet current, checks at least annually that every number still reaches the person named, and reviews it whenever a named person or their details change. Every change replaces the printed and offline copies, and the Lead destroys the copies it replaces (policy Section 3.2 and its Appendix 1).</w:t>
      </w:r>
    </w:p>
    <w:tbl>
      <w:tblPr>
        <w:tblStyle w:val="TableGrid"/>
        <w:tblW w:type="auto" w:w="0"/>
        <w:tblLook w:firstColumn="1" w:firstRow="1" w:lastColumn="0" w:lastRow="0" w:noHBand="0" w:noVBand="1" w:val="04A0"/>
      </w:tblPr>
      <w:tblGrid>
        <w:gridCol w:w="3600"/>
        <w:gridCol w:w="7200"/>
      </w:tblGrid>
      <w:tr>
        <w:trPr>
          <w:cantSplit/>
        </w:trPr>
        <w:tc>
          <w:tcPr>
            <w:tcW w:type="dxa" w:w="3600"/>
          </w:tcPr>
          <w:p>
            <w:r>
              <w:t xml:space="preserve">Organization</w:t>
            </w:r>
          </w:p>
        </w:tc>
        <w:tc>
          <w:tcPr>
            <w:tcW w:type="dxa" w:w="7200"/>
          </w:tcPr>
          <w:p>
            <w:r>
              <w:rPr>
                <w:highlight w:val="yellow"/>
              </w:rPr>
              <w:t xml:space="preserve">[Company Name]</w:t>
            </w:r>
          </w:p>
        </w:tc>
      </w:tr>
      <w:tr>
        <w:trPr>
          <w:cantSplit/>
        </w:trPr>
        <w:tc>
          <w:tcPr>
            <w:tcW w:type="dxa" w:w="3600"/>
          </w:tcPr>
          <w:p>
            <w:r>
              <w:t xml:space="preserve">Completed by</w:t>
            </w:r>
          </w:p>
        </w:tc>
        <w:tc>
          <w:tcPr>
            <w:tcW w:type="dxa" w:w="7200"/>
          </w:tcPr>
          <w:p>
            <w:r>
              <w:rPr>
                <w:highlight w:val="yellow"/>
              </w:rPr>
              <w:t xml:space="preserve">[Name]</w:t>
            </w:r>
          </w:p>
        </w:tc>
      </w:tr>
      <w:tr>
        <w:trPr>
          <w:cantSplit/>
        </w:trPr>
        <w:tc>
          <w:tcPr>
            <w:tcW w:type="dxa" w:w="3600"/>
          </w:tcPr>
          <w:p>
            <w:r>
              <w:t xml:space="preserve">Date completed</w:t>
            </w:r>
          </w:p>
        </w:tc>
        <w:tc>
          <w:tcPr>
            <w:tcW w:type="dxa" w:w="7200"/>
          </w:tcPr>
          <w:p>
            <w:r>
              <w:rPr>
                <w:highlight w:val="yellow"/>
              </w:rPr>
              <w:t xml:space="preserve">[Date]</w:t>
            </w:r>
          </w:p>
        </w:tc>
      </w:tr>
      <w:tr>
        <w:trPr>
          <w:cantSplit/>
        </w:trPr>
        <w:tc>
          <w:tcPr>
            <w:tcW w:type="dxa" w:w="3600"/>
          </w:tcPr>
          <w:p>
            <w:r>
              <w:t xml:space="preserve">Copies live at</w:t>
            </w:r>
          </w:p>
        </w:tc>
        <w:tc>
          <w:tcPr>
            <w:tcW w:type="dxa" w:w="7200"/>
          </w:tcPr>
          <w:p>
            <w:r>
              <w:rPr>
                <w:highlight w:val="yellow"/>
              </w:rPr>
              <w:t xml:space="preserve">[Printed and offline locations, kept with the BC/DR plan copies]</w:t>
            </w:r>
          </w:p>
        </w:tc>
      </w:tr>
      <w:tr>
        <w:trPr>
          <w:cantSplit/>
        </w:trPr>
        <w:tc>
          <w:tcPr>
            <w:tcW w:type="dxa" w:w="3600"/>
          </w:tcPr>
          <w:p>
            <w:r>
              <w:t xml:space="preserve">Policy version this sheet matches</w:t>
            </w:r>
          </w:p>
        </w:tc>
        <w:tc>
          <w:tcPr>
            <w:tcW w:type="dxa" w:w="7200"/>
          </w:tcPr>
          <w:p>
            <w:r>
              <w:rPr>
                <w:highlight w:val="yellow"/>
              </w:rPr>
              <w:t xml:space="preserve">[Version]</w:t>
            </w:r>
          </w:p>
        </w:tc>
      </w:tr>
      <w:tr>
        <w:trPr>
          <w:cantSplit/>
        </w:trPr>
        <w:tc>
          <w:tcPr>
            <w:tcW w:type="dxa" w:w="3600"/>
          </w:tcPr>
          <w:p>
            <w:r>
              <w:t xml:space="preserve">Next review</w:t>
            </w:r>
          </w:p>
        </w:tc>
        <w:tc>
          <w:tcPr>
            <w:tcW w:type="dxa" w:w="7200"/>
          </w:tcPr>
          <w:p>
            <w:r>
              <w:rPr>
                <w:highlight w:val="yellow"/>
              </w:rPr>
              <w:t xml:space="preserve">[Date, with the policy review, at least annually]</w:t>
            </w:r>
          </w:p>
        </w:tc>
      </w:tr>
    </w:tbl>
    <w:p>
      <w:pPr>
        <w:spacing w:before="0" w:after="0" w:line="20" w:lineRule="exact"/>
        <w:rPr>
          <w:sz w:val="4"/>
          <w:szCs w:val="4"/>
        </w:rPr>
      </w:pPr>
    </w:p>
    <w:sectPr w:rsidR="00FC693F" w:rsidRPr="0006063C" w:rsidSect="00034616">
      <w:footerReference w:type="default" r:id="rId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val="clear" w:pos="4680"/>
        <w:tab w:val="clear" w:pos="9360"/>
        <w:tab w:val="right" w:pos="10800"/>
      </w:tabs>
    </w:pPr>
    <w:r>
      <w:rPr>
        <w:color w:val="3A475C"/>
        <w:sz w:val="18"/>
      </w:rPr>
      <w:t xml:space="preserve">©2026 anoBytes Technology Solutions LLC | anobytes.com</w:t>
    </w:r>
    <w:r>
      <w:rPr>
        <w:color w:val="3A475C"/>
        <w:sz w:val="18"/>
      </w:rPr>
      <w:tab/>
    </w:r>
    <w:r>
      <w:rPr>
        <w:color w:val="3A475C"/>
        <w:sz w:val="18"/>
      </w:rPr>
      <w:t xml:space="preserve">Incident Response Plan Worksheet | Page </w:t>
    </w:r>
    <w:r>
      <w:rPr>
        <w:color w:val="3A475C"/>
        <w:sz w:val="18"/>
      </w:rPr>
      <w:fldChar w:fldCharType="begin"/>
    </w:r>
    <w:r>
      <w:rPr>
        <w:color w:val="3A475C"/>
        <w:sz w:val="18"/>
      </w:rPr>
      <w:instrText xml:space="preserve"> PAGE </w:instrText>
    </w:r>
    <w:r>
      <w:rPr>
        <w:color w:val="3A475C"/>
        <w:sz w:val="18"/>
      </w:rPr>
      <w:fldChar w:fldCharType="separate"/>
    </w:r>
    <w:r>
      <w:rPr>
        <w:color w:val="3A475C"/>
        <w:sz w:val="18"/>
      </w:rPr>
      <w:t>1</w:t>
    </w:r>
    <w:r>
      <w:rPr>
        <w:color w:val="3A475C"/>
        <w:sz w:val="18"/>
      </w:rPr>
      <w:fldChar w:fldCharType="end"/>
    </w:r>
    <w:r>
      <w:rPr>
        <w:color w:val="3A475C"/>
        <w:sz w:val="18"/>
      </w:rPr>
      <w:t xml:space="preserve"> of </w:t>
    </w:r>
    <w:r>
      <w:rPr>
        <w:color w:val="3A475C"/>
        <w:sz w:val="18"/>
      </w:rPr>
      <w:fldChar w:fldCharType="begin"/>
    </w:r>
    <w:r>
      <w:rPr>
        <w:color w:val="3A475C"/>
        <w:sz w:val="18"/>
      </w:rPr>
      <w:instrText xml:space="preserve"> NUMPAGES </w:instrText>
    </w:r>
    <w:r>
      <w:rPr>
        <w:color w:val="3A475C"/>
        <w:sz w:val="18"/>
      </w:rPr>
      <w:fldChar w:fldCharType="separate"/>
    </w:r>
    <w:r>
      <w:rPr>
        <w:color w:val="3A475C"/>
        <w:sz w:val="18"/>
      </w:rPr>
      <w:t>5</w:t>
    </w:r>
    <w:r>
      <w:rPr>
        <w:color w:val="3A475C"/>
        <w:sz w:val="18"/>
      </w:rP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720"/>
        </w:tabs>
        <w:ind w:left="72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40" w:lineRule="auto"/>
    </w:pPr>
    <w:rPr>
      <w:rFonts w:ascii="Arial" w:hAnsi="Arial" w:cs="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cs="Arial"/>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outlineLvl w:val="0"/>
    </w:pPr>
    <w:rPr>
      <w:rFonts w:eastAsiaTheme="majorEastAsia" w:ascii="Arial" w:hAnsi="Arial" w:cs="Arial"/>
      <w:b/>
      <w:bCs/>
      <w:color w:val="365F91" w:themeColor="accent1" w:themeShade="BF"/>
      <w:sz w:val="26"/>
      <w:szCs w:val="28"/>
    </w:rPr>
  </w:style>
  <w:style w:type="paragraph" w:styleId="Heading2">
    <w:name w:val="heading 2"/>
    <w:basedOn w:val="Normal"/>
    <w:next w:val="Normal"/>
    <w:link w:val="Heading2Char"/>
    <w:uiPriority w:val="9"/>
    <w:unhideWhenUsed/>
    <w:qFormat/>
    <w:rsid w:val="00FC693F"/>
    <w:pPr>
      <w:keepNext/>
      <w:keepLines/>
      <w:spacing w:before="120" w:after="60"/>
      <w:outlineLvl w:val="1"/>
    </w:pPr>
    <w:rPr>
      <w:rFonts w:eastAsiaTheme="majorEastAsia" w:ascii="Arial" w:hAnsi="Arial" w:cs="Arial"/>
      <w:b/>
      <w:bCs/>
      <w:color w:val="4F81BD" w:themeColor="accent1"/>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eastAsiaTheme="majorEastAsia" w:ascii="Arial" w:hAnsi="Arial" w:cs="Arial"/>
      <w:color w:val="17365D" w:themeColor="text2" w:themeShade="BF"/>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40"/>
      <w:contextualSpacing/>
    </w:pPr>
    <w:rPr>
      <w:rFonts w:ascii="Arial" w:hAnsi="Arial" w:cs="Arial"/>
      <w:sz w:val="2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615</Words>
  <Characters>20171</Characters>
  <DocSecurity>0</DocSecurity>
  <Lines>211</Lines>
  <Paragraphs>131</Paragraphs>
  <ScaleCrop>false</ScaleCrop>
  <HeadingPairs>
    <vt:vector size="2" baseType="variant">
      <vt:variant>
        <vt:lpstr>Title</vt:lpstr>
      </vt:variant>
      <vt:variant>
        <vt:i4>1</vt:i4>
      </vt:variant>
    </vt:vector>
  </HeadingPairs>
  <TitlesOfParts>
    <vt:vector size="1" baseType="lpstr">
      <vt:lpstr>Incident Response Plan Worksheet</vt:lpstr>
    </vt:vector>
  </TitlesOfParts>
  <Manager/>
  <Company>anoBytes Technology Solutions LLC</Company>
  <LinksUpToDate>false</LinksUpToDate>
  <CharactersWithSpaces>23778</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dc:title>Incident Response Plan Worksheet</dc:title>
  <dc:subject>Incident response plan worksheet</dc:subject>
  <dc:creator>Nelson Pereira, anoBytes Technology Solutions LLC</dc:creator>
  <cp:keywords>ic3, fbi, bec, business email compromise, fraudulent payment, banking relationship, suspicious message, cyber insurance, insurer, claims line, approved panel, response panel, retainer, forensics, legal counsel, law enforcement, regulator, supervisory authority, notification deadline, sanctions, out-of-band channel, alternate, security operations, escalate, significant incident, triage, containment, evidence, breach, incident reference, incident record, post-incident review, after hours, printed copy, policy version, cisa.gov, ransomware, board of directors, facility owner, provider incident contacts, occip, treasury, isac, information sharing, human resources, hold harmless letter, letter of indemnity, log rotation, backup expiry, report a suspected incident, reporting contact, deputy, recall, declares, preserve the evidence, wi-fi, national cyber security agency, printable</cp:keywords>
  <dc:description>The fill-in companion to the Incident Response Policy: who responds, the help arranged in advance, the first-hour steps, and an incident log, on five pages you print and keep offline.</dc:description>
  <cp:lastModifiedBy/>
  <cp:revision>1</cp:revision>
  <dcterms:created xsi:type="dcterms:W3CDTF">2026-07-30T00:00:00Z</dcterms:created>
  <dcterms:modified xsi:type="dcterms:W3CDTF">2026-09-07T00:00:00Z</dcterms:modified>
  <cp:category>Template</cp:category>
</cp:coreProperties>
</file>