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Information Security Policy</w:t>
      </w:r>
    </w:p>
    <w:p>
      <w:pPr>
        <w:pStyle w:val="Heading1"/>
        <w:spacing w:before="0" w:after="80"/>
      </w:pPr>
      <w:r>
        <w:rPr>
          <w:color w:val="auto"/>
          <w:sz w:val="20"/>
          <w:szCs w:val="20"/>
        </w:rPr>
        <w:t>Document Control</w:t>
      </w:r>
    </w:p>
    <w:tbl>
      <w:tblPr>
        <w:tblStyle w:val="TableGrid"/>
        <w:tblW w:type="auto" w:w="0"/>
        <w:tblLook w:firstColumn="1" w:firstRow="1" w:lastColumn="0" w:lastRow="0" w:noHBand="0" w:noVBand="1" w:val="04A0"/>
      </w:tblPr>
      <w:tblGrid>
        <w:gridCol w:w="5400"/>
        <w:gridCol w:w="5400"/>
      </w:tblGrid>
      <w:tr>
        <w:trPr>
          <w:cantSplit/>
        </w:trPr>
        <w:tc>
          <w:tcPr>
            <w:tcW w:type="dxa" w:w="5400"/>
          </w:tcPr>
          <w:p>
            <w:r>
              <w:rPr>
                <w:b/>
              </w:rPr>
              <w:t>Document title</w:t>
            </w:r>
          </w:p>
        </w:tc>
        <w:tc>
          <w:tcPr>
            <w:tcW w:type="dxa" w:w="5400"/>
          </w:tcPr>
          <w:p>
            <w:r>
              <w:t>Information Security Policy</w:t>
            </w:r>
          </w:p>
        </w:tc>
      </w:tr>
      <w:tr>
        <w:trPr>
          <w:cantSplit/>
        </w:trPr>
        <w:tc>
          <w:tcPr>
            <w:tcW w:type="dxa" w:w="5400"/>
          </w:tcPr>
          <w:p>
            <w:r>
              <w:rPr>
                <w:b/>
              </w:rPr>
              <w:t>Version</w:t>
            </w:r>
          </w:p>
        </w:tc>
        <w:tc>
          <w:tcPr>
            <w:tcW w:type="dxa" w:w="5400"/>
          </w:tcPr>
          <w:p>
            <w:r>
              <w:t>1.0</w:t>
            </w:r>
          </w:p>
        </w:tc>
      </w:tr>
      <w:tr>
        <w:trPr>
          <w:cantSplit/>
        </w:trPr>
        <w:tc>
          <w:tcPr>
            <w:tcW w:type="dxa" w:w="5400"/>
          </w:tcPr>
          <w:p>
            <w:r>
              <w:rPr>
                <w:b/>
              </w:rPr>
              <w:t>Document owner</w:t>
            </w:r>
          </w:p>
        </w:tc>
        <w:tc>
          <w:tcPr>
            <w:tcW w:type="dxa" w:w="5400"/>
          </w:tcPr>
          <w:p>
            <w:r>
              <w:t>Information Security Lead</w:t>
            </w:r>
          </w:p>
        </w:tc>
      </w:tr>
      <w:tr>
        <w:trPr>
          <w:cantSplit/>
        </w:trPr>
        <w:tc>
          <w:tcPr>
            <w:tcW w:type="dxa" w:w="5400"/>
          </w:tcPr>
          <w:p>
            <w:r>
              <w:rPr>
                <w:b/>
              </w:rPr>
              <w:t>Approved by</w:t>
            </w:r>
          </w:p>
        </w:tc>
        <w:tc>
          <w:tcPr>
            <w:tcW w:type="dxa" w:w="5400"/>
          </w:tcPr>
          <w:p>
            <w:r>
              <w:rPr>
                <w:highlight w:val="yellow"/>
              </w:rPr>
              <w:t>[Name and title, e.g., Chief Executive Officer]</w:t>
            </w:r>
          </w:p>
        </w:tc>
      </w:tr>
      <w:tr>
        <w:trPr>
          <w:cantSplit/>
        </w:trPr>
        <w:tc>
          <w:tcPr>
            <w:tcW w:type="dxa" w:w="5400"/>
          </w:tcPr>
          <w:p>
            <w:r>
              <w:rPr>
                <w:b/>
              </w:rPr>
              <w:t>Effective date</w:t>
            </w:r>
          </w:p>
        </w:tc>
        <w:tc>
          <w:tcPr>
            <w:tcW w:type="dxa" w:w="5400"/>
          </w:tcPr>
          <w:p>
            <w:r>
              <w:rPr>
                <w:highlight w:val="yellow"/>
              </w:rPr>
              <w:t>[Date]</w:t>
            </w:r>
          </w:p>
        </w:tc>
      </w:tr>
      <w:tr>
        <w:trPr>
          <w:cantSplit/>
        </w:trPr>
        <w:tc>
          <w:tcPr>
            <w:tcW w:type="dxa" w:w="5400"/>
          </w:tcPr>
          <w:p>
            <w:r>
              <w:rPr>
                <w:b/>
              </w:rPr>
              <w:t>Next review date</w:t>
            </w:r>
          </w:p>
        </w:tc>
        <w:tc>
          <w:tcPr>
            <w:tcW w:type="dxa" w:w="5400"/>
          </w:tcPr>
          <w:p>
            <w:r>
              <w:rPr>
                <w:highlight w:val="yellow"/>
              </w:rPr>
              <w:t>[Date, no later than one year after the effective date]</w:t>
            </w:r>
          </w:p>
        </w:tc>
      </w:tr>
      <w:tr>
        <w:trPr>
          <w:cantSplit/>
        </w:trPr>
        <w:tc>
          <w:tcPr>
            <w:tcW w:type="dxa" w:w="5400"/>
          </w:tcPr>
          <w:p>
            <w:r>
              <w:rPr>
                <w:b/>
              </w:rPr>
              <w:t>Classification</w:t>
            </w:r>
          </w:p>
        </w:tc>
        <w:tc>
          <w:tcPr>
            <w:tcW w:type="dxa" w:w="5400"/>
          </w:tcPr>
          <w:p>
            <w:r>
              <w:rPr>
                <w:highlight w:val="yellow"/>
              </w:rPr>
              <w:t>[e.g., Internal (shareable with customers and auditors on request)]</w:t>
            </w:r>
          </w:p>
        </w:tc>
      </w:tr>
    </w:tbl>
    <w:p>
      <w:pPr>
        <w:pStyle w:val="Heading1"/>
        <w:spacing w:before="0" w:after="80"/>
      </w:pPr>
      <w:r>
        <w:rPr>
          <w:color w:val="auto"/>
          <w:sz w:val="20"/>
          <w:szCs w:val="20"/>
        </w:rPr>
        <w:t>Revision History</w:t>
      </w:r>
    </w:p>
    <w:tbl>
      <w:tblPr>
        <w:tblStyle w:val="TableGrid"/>
        <w:tblW w:type="auto" w:w="0"/>
        <w:tblLook w:firstColumn="1" w:firstRow="1" w:lastColumn="0" w:lastRow="0" w:noHBand="0" w:noVBand="1" w:val="04A0"/>
      </w:tblPr>
      <w:tblGrid>
        <w:gridCol w:w="1440"/>
        <w:gridCol w:w="2520"/>
        <w:gridCol w:w="6840"/>
      </w:tblGrid>
      <w:tr>
        <w:trPr>
          <w:cantSplit/>
          <w:tblHeader/>
        </w:trPr>
        <w:tc>
          <w:tcPr>
            <w:tcW w:type="dxa" w:w="1440"/>
          </w:tcPr>
          <w:p>
            <w:r>
              <w:rPr>
                <w:b/>
              </w:rPr>
              <w:t>Version</w:t>
            </w:r>
          </w:p>
        </w:tc>
        <w:tc>
          <w:tcPr>
            <w:tcW w:type="dxa" w:w="2520"/>
          </w:tcPr>
          <w:p>
            <w:r>
              <w:rPr>
                <w:b/>
              </w:rPr>
              <w:t>Date</w:t>
            </w:r>
          </w:p>
        </w:tc>
        <w:tc>
          <w:tcPr>
            <w:tcW w:type="dxa" w:w="6840"/>
          </w:tcPr>
          <w:p>
            <w:r>
              <w:rPr>
                <w:b/>
              </w:rPr>
              <w:t>Summary of changes</w:t>
            </w:r>
          </w:p>
        </w:tc>
      </w:tr>
      <w:tr>
        <w:trPr>
          <w:cantSplit/>
        </w:trPr>
        <w:tc>
          <w:tcPr>
            <w:tcW w:type="dxa" w:w="1440"/>
          </w:tcPr>
          <w:p>
            <w:r>
              <w:t>1.0</w:t>
            </w:r>
          </w:p>
        </w:tc>
        <w:tc>
          <w:tcPr>
            <w:tcW w:type="dxa" w:w="2520"/>
          </w:tcPr>
          <w:p>
            <w:r>
              <w:rPr>
                <w:highlight w:val="yellow"/>
              </w:rPr>
              <w:t>[Date]</w:t>
            </w:r>
          </w:p>
        </w:tc>
        <w:tc>
          <w:tcPr>
            <w:tcW w:type="dxa" w:w="6840"/>
          </w:tcPr>
          <w:p>
            <w:r>
              <w:t>Initial version.</w:t>
            </w:r>
          </w:p>
        </w:tc>
      </w:tr>
    </w:tbl>
    <w:p>
      <w:pPr>
        <w:pStyle w:val="Heading1"/>
      </w:pPr>
      <w:r>
        <w:t>1.0 Purpose</w:t>
      </w:r>
    </w:p>
    <w:p>
      <w:r>
        <w:t xml:space="preserve">This policy defines how </w:t>
      </w:r>
      <w:r>
        <w:rPr>
          <w:highlight w:val="yellow"/>
        </w:rPr>
        <w:t>[Company Name]</w:t>
      </w:r>
      <w:r>
        <w:t xml:space="preserve"> ("the organization") builds and runs its Information Security Program. ISO/IEC 27001 calls this an information security management system (ISMS); the two names mean the same thing here. The program identifies and documents information assets (the organization's data and the systems that store and process it) and protects them against unauthorized access, disclosure, modification, or destruction.</w:t>
      </w:r>
    </w:p>
    <w:p>
      <w:r>
        <w:t>It sets the rules for using, storing, and transmitting the organization's information responsibly, and the duties of the people who handle it. The goal is to keep information confidential, accurate and complete, and available when needed (confidentiality, integrity, and availability).</w:t>
      </w:r>
    </w:p>
    <w:p>
      <w:r>
        <w:t>This policy is written against ISO/IEC 27001:2022 (including its 2024 amendment) and the NIST Cybersecurity Framework (CSF) 2.0. Section 3.1 names the standards the organization works to, and Section 9.0 says how far the mapping goes.</w:t>
      </w:r>
    </w:p>
    <w:p>
      <w:pPr>
        <w:pStyle w:val="Heading1"/>
      </w:pPr>
      <w:r>
        <w:t>2.0 Scope</w:t>
      </w:r>
    </w:p>
    <w:p>
      <w:r>
        <w:t>This policy applies to all of the organization's information and information systems, wherever the information is processed or stored, including when it is held by third-party vendors and service providers. Their obligations are set through contracts (see Section 3.9). This policy governs all employees, contractors, and any other authorized users who access, process, store, or transmit the organization's information.</w:t>
      </w:r>
    </w:p>
    <w:p>
      <w:pPr>
        <w:pStyle w:val="Heading1"/>
      </w:pPr>
      <w:r>
        <w:t>3.0 Policy Statements</w:t>
      </w:r>
    </w:p>
    <w:p>
      <w:r>
        <w:t>Throughout this policy and its supporting policies, a statement of what the organization or its people do is a requirement, even without "shall" or "must". Those words simply make a requirement explicit, and so do direct instructions such as the responsibilities in Section 4.0. The words "may" and "is acceptable" mark a permission. Where a requirement needs a planned deviation, Section 6.0 describes how to request an exception. Text in square brackets marks a decision to make when adopting this policy: a placeholder to fill in, a starting value to set, or a passage to review and then keep, adapt, or delete. Remove the brackets and the yellow highlighting after each decision. Some brackets hold a note to you rather than text to keep; delete the note once you have acted on it.</w:t>
      </w:r>
    </w:p>
    <w:p>
      <w:pPr>
        <w:pStyle w:val="Heading2"/>
      </w:pPr>
      <w:r>
        <w:t>3.1 Program Management</w:t>
      </w:r>
    </w:p>
    <w:p>
      <w:pPr>
        <w:pStyle w:val="ListBullet"/>
        <w:keepNext/>
      </w:pPr>
      <w:r>
        <w:t>The organization shall establish, implement, and maintain an Information Security Program to protect its information assets.</w:t>
      </w:r>
    </w:p>
    <w:p>
      <w:pPr>
        <w:pStyle w:val="ListBullet"/>
      </w:pPr>
      <w:r>
        <w:t xml:space="preserve">The organization shall base its security practices on recognized standards: </w:t>
      </w:r>
      <w:r>
        <w:rPr>
          <w:highlight w:val="yellow"/>
        </w:rPr>
        <w:t>[ISO/IEC 27001 and the NIST Cybersecurity Framework. Naming a standard here commits the organization to work to it, so keep only the standards it has decided to meet, and name at least one.]</w:t>
      </w:r>
    </w:p>
    <w:p>
      <w:pPr>
        <w:pStyle w:val="ListBullet"/>
      </w:pPr>
      <w:r>
        <w:t>The organization shall continually improve the program's suitability, adequacy, and effectiveness, and shall update its practices as threats change.</w:t>
      </w:r>
    </w:p>
    <w:p>
      <w:pPr>
        <w:pStyle w:val="ListBullet"/>
      </w:pPr>
      <w:r>
        <w:t>Executive Management (defined in Section 4.0) shall set information security objectives, record them, communicate them, and make them measurable where that is practical. It shall hold a management review of the program at least annually, covering its performance against those objectives, what happened to the actions from the previous review, audit results, incidents, the status of risks, progress on open findings, any change in the conditions and interested-party requirements recorded under this section, and opportunities to improve. It shall record what it decides, including any changes the program needs.</w:t>
      </w:r>
    </w:p>
    <w:p>
      <w:pPr>
        <w:pStyle w:val="ListBullet"/>
      </w:pPr>
      <w:r>
        <w:t>Everyone covered by this policy shall read and acknowledge this policy and the Acceptable Use Policy, which sets the everyday rules for using the organization's systems. Those two apply to everyone. The Information Security Lead (defined in Section 4.0) decides which other policies each role acknowledges, and records that decision.</w:t>
      </w:r>
    </w:p>
    <w:p>
      <w:pPr>
        <w:pStyle w:val="ListBullet"/>
      </w:pPr>
      <w:r>
        <w:t>Each person acknowledges before getting access, then at least once a year. Anyone already working when a policy takes effect acknowledges it then. Everyone acknowledges again when the Information Security Lead determines a policy has changed significantly. One recorded acknowledgment may cover several policies.</w:t>
      </w:r>
    </w:p>
    <w:p>
      <w:pPr>
        <w:pStyle w:val="ListBullet"/>
      </w:pPr>
      <w:r>
        <w:t>The organization shall communicate this policy to everyone it covers. Where appropriate, it shall also make the policy available on request to customers, auditors, and other interested parties (such as regulators and business partners).</w:t>
      </w:r>
    </w:p>
    <w:p>
      <w:pPr>
        <w:pStyle w:val="ListBullet"/>
      </w:pPr>
      <w:r>
        <w:t>The organization shall define security roles and responsibilities clearly and communicate them (see Section 4.0).</w:t>
      </w:r>
    </w:p>
    <w:p>
      <w:pPr>
        <w:pStyle w:val="ListBullet"/>
      </w:pPr>
      <w:r>
        <w:t xml:space="preserve">The organization shall arrange internal audits or assessments of the program </w:t>
      </w:r>
      <w:r>
        <w:rPr>
          <w:highlight w:val="yellow"/>
        </w:rPr>
        <w:t>[at least annually]</w:t>
      </w:r>
      <w:r>
        <w:t>. The auditor shall be someone not responsible for the controls (security measures) being audited. Where that is not possible, an independent party such as an external assessor shall review the results.</w:t>
      </w:r>
    </w:p>
    <w:p>
      <w:pPr>
        <w:pStyle w:val="ListBullet"/>
      </w:pPr>
      <w:r>
        <w:t>When the organization finds that a security requirement has not been met, whether through an audit, an incident, monitoring, or a report from anyone, it shall correct it, record what caused it, check whether the same weakness exists anywhere else, and confirm afterward that the fix worked. Each finding shall have an owner and a fix date. The effort spent shall match the harm the finding could do.</w:t>
      </w:r>
    </w:p>
    <w:p>
      <w:pPr>
        <w:pStyle w:val="ListBullet"/>
      </w:pPr>
      <w:r>
        <w:t>The organization shall identify and record the legal, regulatory, and contractual requirements that apply to its information, keep that record up to date, and meet them. Where it is unclear which requirements apply, the organization takes legal advice.</w:t>
      </w:r>
    </w:p>
    <w:p>
      <w:pPr>
        <w:pStyle w:val="ListBullet"/>
      </w:pPr>
      <w:r>
        <w:t>The organization shall record the internal and external conditions that affect its ability to protect information, and the parties whose security requirements it has to meet, such as customers, regulators, insurers, and its own people. It shall review that record when it reviews this policy (Section 5.0).</w:t>
      </w:r>
    </w:p>
    <w:p>
      <w:pPr>
        <w:pStyle w:val="ListBullet"/>
      </w:pPr>
      <w:r>
        <w:rPr>
          <w:highlight w:val="yellow"/>
        </w:rPr>
        <w:t xml:space="preserve">[Where the organization has kept ISO/IEC 27001 among the standards it works to, the 2024 amendment adds one requirement: the organization decides whether climate change is one of those conditions. That decision is recorded with the other conditions. The standard also notes that interested parties can raise climate-related requirements; the organization records those like any other requirement.]</w:t>
      </w:r>
    </w:p>
    <w:p>
      <w:pPr>
        <w:pStyle w:val="ListBullet"/>
      </w:pPr>
      <w:r>
        <w:t>The organization shall keep records that show its security requirements are being met, such as training completions, policy acknowledgments, audit results, and risk decisions.</w:t>
      </w:r>
    </w:p>
    <w:p>
      <w:pPr>
        <w:pStyle w:val="ListBullet"/>
      </w:pPr>
      <w:r>
        <w:t>The organization shall control the documents and records this policy requires: each one has an owner and a version, changes are approved before they take effect, and both the documents and the records are protected against loss and unauthorized change for as long as they are kept.</w:t>
      </w:r>
    </w:p>
    <w:p>
      <w:pPr>
        <w:pStyle w:val="ListBullet"/>
      </w:pPr>
      <w:r>
        <w:t>The organization shall keep in contact with relevant authorities and industry security groups. Subscribing to relevant advisories and alerts satisfies the duty to stay informed of new threats. For incidents, the organization also identifies which authorities it would have to contact, such as law enforcement and its regulators, and how to reach them; Section 3.10 sets the notification duties those contacts serve. The Information Security Lead owns these contacts.</w:t>
      </w:r>
    </w:p>
    <w:p>
      <w:pPr>
        <w:pStyle w:val="Heading2"/>
      </w:pPr>
      <w:r>
        <w:t>3.2 Risk Management</w:t>
      </w:r>
    </w:p>
    <w:p>
      <w:pPr>
        <w:pStyle w:val="ListBullet"/>
        <w:keepNext/>
      </w:pPr>
      <w:r>
        <w:t xml:space="preserve">The organization shall follow a documented risk assessment process that identifies and evaluates risks to information assets and decides how each one is handled. Treatment options include reducing the risk, avoiding it, transferring it, or accepting it. Transferring a risk, including by buying insurance, moves who pays for the harm. The organization stays responsible for protecting the information. The organization shall repeat assessments at planned intervals, </w:t>
      </w:r>
      <w:r>
        <w:rPr>
          <w:highlight w:val="yellow"/>
        </w:rPr>
        <w:t>[at least annually]</w:t>
      </w:r>
      <w:r>
        <w:t>, and whenever significant changes are proposed or occur.</w:t>
      </w:r>
    </w:p>
    <w:p>
      <w:pPr>
        <w:pStyle w:val="ListBullet"/>
      </w:pPr>
      <w:r>
        <w:t>The organization shall use the same criteria for every risk assessment, so that assessments made at different times can be compared.</w:t>
      </w:r>
    </w:p>
    <w:p>
      <w:pPr>
        <w:pStyle w:val="ListBullet"/>
      </w:pPr>
      <w:r>
        <w:t>Executive Management decides whether the organization buys cyber insurance, and what the insurer requires in return becomes a requirement like any other (Section 4.1).</w:t>
      </w:r>
    </w:p>
    <w:p>
      <w:pPr>
        <w:pStyle w:val="ListBullet"/>
      </w:pPr>
      <w:r>
        <w:t>The organization shall give every identified risk a named owner. That owner shall approve how the risk is treated and accept whatever risk is left afterward.</w:t>
      </w:r>
    </w:p>
    <w:p>
      <w:pPr>
        <w:pStyle w:val="ListBullet"/>
      </w:pPr>
      <w:r>
        <w:t>Executive Management shall define, in writing, how much risk the organization is willing to accept (its risk appetite) and what counts as a significant risk, incident, or change; when in doubt, treat it as significant.</w:t>
      </w:r>
    </w:p>
    <w:p>
      <w:pPr>
        <w:pStyle w:val="ListBullet"/>
      </w:pPr>
      <w:r>
        <w:t>The Information Security Lead shall recommend how each significant risk is handled. Accepting a risk means deciding the organization will live with it rather than reduce, avoid, or transfer it. Where a risk is significant, Executive Management is recorded as its owner, with a named individual accountable for it, and only Executive Management may accept it on behalf of the organization. A risk below that threshold may be accepted by its owner; where the Information Security Lead is the owner, Executive Management accepts it, the same way Section 6.0 handles an exception the Lead requests. Executive Management also accepts a risk that would threaten the organization, its customers, or its obligations if it happened, whatever its risk level, and whether that is true of the risk as it stands or of what remains after treatment. Multiplying a severe impact by a low likelihood can put such a risk below the threshold. Where Executive Management accepts a risk because it would threaten the organization, its customers, or its obligations, the risk owner accepts it as well. Executive Management's acceptance stands alone where the risk is significant, since Executive Management is then its owner, or where the Information Security Lead owns it.</w:t>
      </w:r>
    </w:p>
    <w:p>
      <w:pPr>
        <w:pStyle w:val="ListBullet"/>
      </w:pPr>
      <w:r>
        <w:t>Acceptance does not waive a legal, regulatory, or contractual requirement.</w:t>
      </w:r>
    </w:p>
    <w:p>
      <w:pPr>
        <w:pStyle w:val="ListBullet"/>
      </w:pPr>
      <w:r>
        <w:t>Every accepted risk shall be documented and reviewed at least annually.</w:t>
      </w:r>
    </w:p>
    <w:p>
      <w:pPr>
        <w:pStyle w:val="ListBullet"/>
      </w:pPr>
      <w:r>
        <w:rPr>
          <w:highlight w:val="yellow"/>
        </w:rPr>
        <w:t xml:space="preserve">[Where the organization has committed to ISO/IEC 27001 in Section 3.1, the standard requires two further records, whether or not the organization seeks certification. A risk treatment plan sets out how the chosen treatments will be carried out, and the risk owners approve it. A Statement of Applicability records the controls the organization has chosen, why it chose each one, whether each is in place, and why it left out any control from Annex A, the standard's list of security controls.]</w:t>
      </w:r>
    </w:p>
    <w:p>
      <w:pPr>
        <w:pStyle w:val="Heading2"/>
      </w:pPr>
      <w:r>
        <w:t>3.3 Asset and Data Protection</w:t>
      </w:r>
    </w:p>
    <w:p>
      <w:pPr>
        <w:pStyle w:val="ListBullet"/>
        <w:keepNext/>
      </w:pPr>
      <w:r>
        <w:t xml:space="preserve">The organization shall keep an up-to-date inventory of information assets. For each asset the inventory records the owner, the classification, and whether a critical activity depends on it (a critical activity is one the business cannot go without for long; Section 3.11 sets the recovery targets for each one). The Information Security Lead reviews the inventory whenever assets are added, upgraded, or retired, and </w:t>
      </w:r>
      <w:r>
        <w:rPr>
          <w:highlight w:val="yellow"/>
        </w:rPr>
        <w:t>[at least annually]</w:t>
      </w:r>
      <w:r>
        <w:t>.</w:t>
      </w:r>
    </w:p>
    <w:p>
      <w:pPr>
        <w:pStyle w:val="ListBullet"/>
      </w:pPr>
      <w:r>
        <w:t>The organization shall classify information by sensitivity and handle it according to its classification and to legal, regulatory, and contractual requirements. The organization's classification scheme shall name which of its levels count as sensitive, since that is what decides which information gets encrypted, which systems need multi-factor authentication, meaning signing in with more than one kind of proof of identity (Section 3.4), and who signs a confidentiality agreement (Section 3.5). Where the organization has a Data Handling Policy, that policy defines the levels.</w:t>
      </w:r>
    </w:p>
    <w:p>
      <w:pPr>
        <w:pStyle w:val="ListBullet"/>
      </w:pPr>
      <w:r>
        <w:t xml:space="preserve">Where the organization holds personal information about employees, customers, or others, it shall identify the privacy laws that apply to that information and handle it accordingly (see Section 3.1).</w:t>
      </w:r>
    </w:p>
    <w:p>
      <w:pPr>
        <w:pStyle w:val="ListBullet"/>
      </w:pPr>
      <w:r>
        <w:t>The organization shall document rules for the acceptable use of its information, systems, and devices, and shall communicate them to everyone who uses them.</w:t>
      </w:r>
    </w:p>
    <w:p>
      <w:pPr>
        <w:pStyle w:val="ListBullet"/>
      </w:pPr>
      <w:r>
        <w:t>The organization shall set rules for transferring information outside the organization, including by email, and those rules shall match the information's classification.</w:t>
      </w:r>
    </w:p>
    <w:p>
      <w:pPr>
        <w:pStyle w:val="ListBullet"/>
      </w:pPr>
      <w:r>
        <w:t>The organization shall keep records and data only as long as business, legal, regulatory, or contractual needs require, and shall then dispose of them securely, including securely erasing or destroying storage media.</w:t>
      </w:r>
    </w:p>
    <w:p>
      <w:pPr>
        <w:pStyle w:val="ListBullet"/>
      </w:pPr>
      <w:r>
        <w:t xml:space="preserve">The organization shall encrypt sensitive information in transit and at rest (while moving over networks and while stored) using current, industry-accepted methods, and shall protect encryption keys against unauthorized access and disclosure. It shall replace keys </w:t>
      </w:r>
      <w:r>
        <w:rPr>
          <w:highlight w:val="yellow"/>
        </w:rPr>
        <w:t>[on a schedule the organization defines]</w:t>
      </w:r>
      <w:r>
        <w:t xml:space="preserve"> and whenever a key may have been exposed.</w:t>
      </w:r>
    </w:p>
    <w:p>
      <w:pPr>
        <w:pStyle w:val="ListBullet"/>
      </w:pPr>
      <w:r>
        <w:t>Everyone covered by this policy shall enter organization information only into artificial intelligence (AI) tools and other online services the organization has approved (Section 4.2 says where the list is kept, Section 3.9 how a provider is assessed), and only for the sensitivity levels that approval covers. Where the organization has an AI Acceptable Use Policy, that policy sets the detailed rules. Where the organization builds AI features or automates decisions with AI, the organization assesses the risks under Section 3.2.</w:t>
      </w:r>
    </w:p>
    <w:p>
      <w:pPr>
        <w:pStyle w:val="Heading2"/>
      </w:pPr>
      <w:r>
        <w:t>3.4 Access Control</w:t>
      </w:r>
    </w:p>
    <w:p>
      <w:pPr>
        <w:pStyle w:val="ListBullet"/>
        <w:keepNext/>
      </w:pPr>
      <w:r>
        <w:t>The organization shall limit access to systems and data to what each person needs to do their job (least privilege). Where the organization has an Access Control Policy, that policy sets the detailed rules.</w:t>
      </w:r>
    </w:p>
    <w:p>
      <w:pPr>
        <w:pStyle w:val="ListBullet"/>
      </w:pPr>
      <w:r>
        <w:t xml:space="preserve">The organization shall grant access through a documented process, review it </w:t>
      </w:r>
      <w:r>
        <w:rPr>
          <w:highlight w:val="yellow"/>
        </w:rPr>
        <w:t>[at least annually, and at least quarterly for administrator and other privileged access; the Access Control Policy carries the same value]</w:t>
      </w:r>
      <w:r>
        <w:t>, and remove it promptly when it is no longer needed. When employment or a contract ends, the organization shall remove access immediately.</w:t>
      </w:r>
    </w:p>
    <w:p>
      <w:pPr>
        <w:pStyle w:val="ListBullet"/>
      </w:pPr>
      <w:r>
        <w:t>The organization shall require multi-factor authentication (MFA) for remote access, administrator access, and access to systems that hold sensitive information. A passkey (a sign-in method that replaces the password with a credential your device or your password manager holds) or a hardware security key counts as multi-factor on its own only where the device unlocks it with a PIN (a numeric unlock code), a fingerprint, or a face check and the service confirms that this happened. A passkey that signs in on a tap alone is one factor and still needs a second.</w:t>
      </w:r>
    </w:p>
    <w:p>
      <w:pPr>
        <w:pStyle w:val="ListBullet"/>
      </w:pPr>
      <w:r>
        <w:t>The organization shall keep administrator accounts to a minimum and monitor them. Each account belongs to a named individual, or, where it runs a service or an automation rather than a person, to a named owner.</w:t>
      </w:r>
    </w:p>
    <w:p>
      <w:pPr>
        <w:pStyle w:val="ListBullet"/>
      </w:pPr>
      <w:r>
        <w:t>The organization shall assign duties that conflict, such as requesting access and approving it, to different people (segregation of duties). Where the organization is too small to separate the duties, someone who is not performing them shall monitor the work, or an independent party such as an external assessor shall review the work at the internal audit or assessment Section 3.1 requires.</w:t>
      </w:r>
    </w:p>
    <w:p>
      <w:pPr>
        <w:pStyle w:val="Heading2"/>
      </w:pPr>
      <w:r>
        <w:t>3.5 Training and Confidentiality Agreements</w:t>
      </w:r>
    </w:p>
    <w:p>
      <w:pPr>
        <w:pStyle w:val="ListBullet"/>
        <w:keepNext/>
      </w:pPr>
      <w:r>
        <w:t>The organization shall deliver security awareness training to employees, contractors, and other relevant people at onboarding and at least annually thereafter. It shall decide what people in roles with special security responsibilities need to know, and shall give them training suited to those roles.</w:t>
      </w:r>
    </w:p>
    <w:p>
      <w:pPr>
        <w:pStyle w:val="ListBullet"/>
      </w:pPr>
      <w:r>
        <w:t>Employees, contractors, and third parties with access to sensitive information shall sign confidentiality or non-disclosure agreements. The organization shall document the terms of these agreements and review them at least annually.</w:t>
      </w:r>
    </w:p>
    <w:p>
      <w:pPr>
        <w:pStyle w:val="ListBullet"/>
      </w:pPr>
      <w:r>
        <w:t>The organization shall decide which security and confidentiality duties continue after employment or a contract ends, write them into the agreements above, and tell each person what those duties are before they leave.</w:t>
      </w:r>
    </w:p>
    <w:p>
      <w:pPr>
        <w:pStyle w:val="Heading2"/>
      </w:pPr>
      <w:r>
        <w:t>3.6 Operations, Network, and Software Security</w:t>
      </w:r>
    </w:p>
    <w:p>
      <w:pPr>
        <w:pStyle w:val="ListBullet"/>
        <w:keepNext/>
      </w:pPr>
      <w:r>
        <w:t xml:space="preserve">The organization shall install and keep current malware protection and threat detection on the workstations, servers, and other devices it manages, </w:t>
      </w:r>
      <w:r>
        <w:rPr>
          <w:highlight w:val="yellow"/>
        </w:rPr>
        <w:t>[using endpoint protection with endpoint detection and response (EDR)]</w:t>
      </w:r>
      <w:r>
        <w:t>.</w:t>
      </w:r>
    </w:p>
    <w:p>
      <w:pPr>
        <w:pStyle w:val="ListBullet"/>
      </w:pPr>
      <w:r>
        <w:t>The organization shall put network protections such as firewalls in place between its systems and the internet.</w:t>
      </w:r>
    </w:p>
    <w:p>
      <w:pPr>
        <w:pStyle w:val="ListBullet"/>
      </w:pPr>
      <w:r>
        <w:t xml:space="preserve">The organization shall keep a written security configuration (a secure baseline) for each kind of system it runs, apply it before the system is first used, and check </w:t>
      </w:r>
      <w:r>
        <w:rPr>
          <w:highlight w:val="yellow"/>
        </w:rPr>
        <w:t>[at least quarterly]</w:t>
      </w:r>
      <w:r>
        <w:t xml:space="preserve"> that its systems still match it. Where a recognized benchmark covers a system, the written configuration starts from that benchmark and records any deliberate difference.</w:t>
      </w:r>
    </w:p>
    <w:p>
      <w:pPr>
        <w:pStyle w:val="ListBullet"/>
      </w:pPr>
      <w:r>
        <w:t>The organization shall put controls in place to prevent and detect phishing, and to recover when an attack succeeds.</w:t>
      </w:r>
    </w:p>
    <w:p>
      <w:pPr>
        <w:pStyle w:val="ListBullet"/>
      </w:pPr>
      <w:r>
        <w:t>The organization shall log and monitor security events, protect logs from tampering, and keep them according to its retention requirements.</w:t>
      </w:r>
    </w:p>
    <w:p>
      <w:pPr>
        <w:pStyle w:val="ListBullet"/>
      </w:pPr>
      <w:r>
        <w:t>The organization shall run changes to its systems through a change management process.</w:t>
      </w:r>
    </w:p>
    <w:p>
      <w:pPr>
        <w:pStyle w:val="ListBullet"/>
      </w:pPr>
      <w:r>
        <w:t xml:space="preserve">The organization shall identify and fix vulnerabilities within </w:t>
      </w:r>
      <w:r>
        <w:rPr>
          <w:highlight w:val="yellow"/>
        </w:rPr>
        <w:t>[timeframes the organization defines by severity and by whether the system is reachable from the internet]</w:t>
      </w:r>
      <w:r>
        <w:t>. Where the organization has a Vulnerability Management Policy, its remediation table holds the values.</w:t>
      </w:r>
    </w:p>
    <w:p>
      <w:pPr>
        <w:pStyle w:val="ListBullet"/>
      </w:pPr>
      <w:r>
        <w:t>The organization shall follow secure development practices for software and systems developed by or for it, with security addressed from design through deployment.</w:t>
      </w:r>
    </w:p>
    <w:p>
      <w:pPr>
        <w:pStyle w:val="Heading2"/>
      </w:pPr>
      <w:r>
        <w:t>3.7 Physical Security</w:t>
      </w:r>
    </w:p>
    <w:p>
      <w:pPr>
        <w:pStyle w:val="ListBullet"/>
      </w:pPr>
      <w:r>
        <w:t>The organization shall limit physical access to facilities and equipment that hold its information to authorized people, and shall protect those facilities and equipment against hazards such as fire, water, and theft. Where the organization has a Physical and Environmental Security Policy, that policy sets the detailed rules.</w:t>
      </w:r>
    </w:p>
    <w:p>
      <w:pPr>
        <w:pStyle w:val="Heading2"/>
      </w:pPr>
      <w:r>
        <w:t>3.8 Remote Work and Mobile Devices</w:t>
      </w:r>
    </w:p>
    <w:p>
      <w:pPr>
        <w:pStyle w:val="ListBullet"/>
      </w:pPr>
      <w:r>
        <w:t>The organization shall set documented requirements for remote work and for the use of mobile or personal devices for business, and those requirements shall protect information wherever it is used. Where the organization has a Remote Work &amp; Mobile Device Policy, that policy sets the detailed rules.</w:t>
      </w:r>
    </w:p>
    <w:p>
      <w:pPr>
        <w:pStyle w:val="Heading2"/>
      </w:pPr>
      <w:r>
        <w:t>3.9 Vendors and Service Providers</w:t>
      </w:r>
    </w:p>
    <w:p>
      <w:pPr>
        <w:pStyle w:val="ListBullet"/>
        <w:keepNext/>
      </w:pPr>
      <w:r>
        <w:t>The organization shall assess vendors and service providers for security risk before it engages them, and shall re-assess each one on a set schedule and whenever the service, its terms, or its security change. Where the organization has a Vendor Risk Management Policy, that policy sets the schedule by risk level. Vendor management covers the software supply chain: the software the organization runs and the update channels that deliver it.</w:t>
      </w:r>
    </w:p>
    <w:p>
      <w:pPr>
        <w:pStyle w:val="ListBullet"/>
      </w:pPr>
      <w:r>
        <w:t>The organization shall write security requirements matching the level of risk into each vendor's contract, including the vendor's duty to report any incident affecting the organization's information or the service.</w:t>
      </w:r>
    </w:p>
    <w:p>
      <w:pPr>
        <w:pStyle w:val="ListBullet"/>
      </w:pPr>
      <w:r>
        <w:t>When the relationship ends, the organization shall remove the vendor's access and confirm the return or destruction of its information.</w:t>
      </w:r>
    </w:p>
    <w:p>
      <w:pPr>
        <w:pStyle w:val="Heading2"/>
      </w:pPr>
      <w:r>
        <w:t>3.10 Security Incidents</w:t>
      </w:r>
    </w:p>
    <w:p>
      <w:pPr>
        <w:pStyle w:val="ListBullet"/>
        <w:keepNext/>
      </w:pPr>
      <w:r>
        <w:t>The organization shall follow a documented process to identify, contain, investigate, and resolve security incidents, and to capture lessons learned. Where the organization has an Incident Response Policy, that policy sets the detailed rules.</w:t>
      </w:r>
    </w:p>
    <w:p>
      <w:pPr>
        <w:pStyle w:val="ListBullet"/>
      </w:pPr>
      <w:r>
        <w:t>The organization shall designate an executive-approved representative to report incidents to outside parties when necessary (see the Incident Response Policy). Where law, regulation, or a contract requires the organization to tell a regulator, an affected person, or a client about an incident, it shall meet that duty and its deadline. The organization identifies which of those duties apply to it in advance (Section 3.1), and takes legal advice where one is unclear.</w:t>
      </w:r>
    </w:p>
    <w:p>
      <w:pPr>
        <w:pStyle w:val="ListBullet"/>
      </w:pPr>
      <w:r>
        <w:t>The organization shall exercise the incident response process at least annually.</w:t>
      </w:r>
    </w:p>
    <w:p>
      <w:pPr>
        <w:pStyle w:val="Heading2"/>
      </w:pPr>
      <w:r>
        <w:t>3.11 Business Continuity and Backups</w:t>
      </w:r>
    </w:p>
    <w:p>
      <w:pPr>
        <w:pStyle w:val="ListBullet"/>
        <w:keepNext/>
      </w:pPr>
      <w:r>
        <w:t>The organization shall decide, for each critical activity, how long it can be down and how much recent work it can afford to lose (the recovery time objective and recovery point objective, RTO and RPO), and shall set the backup frequency and the restore-test schedule to match. Where the organization has a Business Continuity &amp; Disaster Recovery Plan, that plan holds those figures.</w:t>
      </w:r>
    </w:p>
    <w:p>
      <w:pPr>
        <w:pStyle w:val="ListBullet"/>
      </w:pPr>
      <w:r>
        <w:t xml:space="preserve">The organization shall back up the information and systems behind its critical activities, </w:t>
      </w:r>
      <w:r>
        <w:rPr>
          <w:highlight w:val="yellow"/>
        </w:rPr>
        <w:t>[at least weekly]</w:t>
      </w:r>
      <w:r>
        <w:t>, and shall protect the backups at least as well as the original data. It shall keep at least one copy where an attacker who reaches the live systems cannot reach it, such as an offline copy or a separately controlled cloud account.</w:t>
      </w:r>
    </w:p>
    <w:p>
      <w:pPr>
        <w:pStyle w:val="ListBullet"/>
      </w:pPr>
      <w:r>
        <w:t xml:space="preserve">The organization shall document business continuity and disaster recovery plans covering its critical activities.</w:t>
      </w:r>
    </w:p>
    <w:p>
      <w:pPr>
        <w:pStyle w:val="ListBullet"/>
      </w:pPr>
      <w:r>
        <w:t>The organization shall review and test those plans and its backups at least annually, and more often where the recovery objectives require it, to make sure that after a disruption it can keep operating and recover its data.</w:t>
      </w:r>
    </w:p>
    <w:p>
      <w:pPr>
        <w:pStyle w:val="Heading1"/>
      </w:pPr>
      <w:r>
        <w:t>4.0 Roles and Responsibilities</w:t>
      </w:r>
    </w:p>
    <w:p>
      <w:r>
        <w:t>Executive Management in this policy means the most senior leaders accountable for the organization as a whole, such as the owner, the chief executive, or the leadership team. Where a Board of Directors or an outside owner exists, Executive Management reports to it.</w:t>
      </w:r>
    </w:p>
    <w:p>
      <w:r>
        <w:t>The organization shall designate a senior leader responsible for information security, referred to in this policy as the Information Security Lead. In some organizations this is a dedicated security executive; in others it is a leader who also holds another role, such as a head of IT or engineering.</w:t>
      </w:r>
    </w:p>
    <w:p>
      <w:r>
        <w:t>One person may hold more than one role, including Executive Management and Information Security Lead together; decisions this policy reserves to Executive Management are then made in that capacity and documented. Where one person holds both roles, that person cannot give an independent second opinion on their own request. The Board of Directors or the owners then decide whether to accept a risk that Section 3.2 reserves to Executive Management, and whether to approve an exception that person requested. Where there is neither, the person records the decision and the reasons for it, in the record of identified risks (the risk register) for a risk acceptance and in the central record of exceptions (the exception register) for an exception (Section 4.2). An independent party such as an external assessor reviews those records at the internal audit or assessment Section 3.1 requires.</w:t>
      </w:r>
    </w:p>
    <w:p>
      <w:r>
        <w:t>Executive Management shall also name a deputy who assumes the Information Security Lead's duties when the Lead is unavailable. The deputy may be a qualified external provider. Where the organization is too small to name anyone, Executive Management holds the duty itself and records that decision.</w:t>
      </w:r>
    </w:p>
    <w:p>
      <w:r>
        <w:t>Any duty in Section 3.0 that this section does not assign to a named role belongs to the Information Security Lead, who may delegate the work and stays accountable for it.</w:t>
      </w:r>
    </w:p>
    <w:p>
      <w:pPr>
        <w:pStyle w:val="Heading2"/>
      </w:pPr>
      <w:r>
        <w:t>4.1 Executive Management</w:t>
      </w:r>
    </w:p>
    <w:p>
      <w:pPr>
        <w:pStyle w:val="ListBullet"/>
        <w:keepNext/>
      </w:pPr>
      <w:r>
        <w:t>Approve this policy and changes to it.</w:t>
      </w:r>
    </w:p>
    <w:p>
      <w:pPr>
        <w:pStyle w:val="ListBullet"/>
      </w:pPr>
      <w:r>
        <w:t>Set the program's scope and objectives so they match business needs.</w:t>
      </w:r>
    </w:p>
    <w:p>
      <w:pPr>
        <w:pStyle w:val="ListBullet"/>
      </w:pPr>
      <w:r>
        <w:t>Provide the funding and staffing the program requires.</w:t>
      </w:r>
    </w:p>
    <w:p>
      <w:pPr>
        <w:pStyle w:val="ListBullet"/>
      </w:pPr>
      <w:r>
        <w:t>Review the Information Security Lead's reports on risks, incidents, and program performance, and hold the annual management review (Section 3.1).</w:t>
      </w:r>
    </w:p>
    <w:p>
      <w:pPr>
        <w:pStyle w:val="ListBullet"/>
      </w:pPr>
      <w:r>
        <w:t>Arrange the internal audit or assessment and receive its results.</w:t>
      </w:r>
    </w:p>
    <w:p>
      <w:pPr>
        <w:pStyle w:val="ListBullet"/>
      </w:pPr>
      <w:r>
        <w:t>Hold the Information Security Lead accountable for results.</w:t>
      </w:r>
    </w:p>
    <w:p>
      <w:pPr>
        <w:pStyle w:val="ListBullet"/>
      </w:pPr>
      <w:r>
        <w:t>Define the risk appetite and what counts as a significant risk, incident, or change.</w:t>
      </w:r>
    </w:p>
    <w:p>
      <w:pPr>
        <w:pStyle w:val="ListBullet"/>
      </w:pPr>
      <w:r>
        <w:t>Decide whether to accept a significant risk, a risk that would threaten the organization, its customers, or its obligations, and a risk the Information Security Lead owns (Section 3.2).</w:t>
      </w:r>
    </w:p>
    <w:p>
      <w:pPr>
        <w:pStyle w:val="ListBullet"/>
      </w:pPr>
      <w:r>
        <w:t>Approve exceptions that carry significant risk, any exception the Information Security Lead requests, and any second or later renewal of the same exception (Section 6.0).</w:t>
      </w:r>
    </w:p>
    <w:p>
      <w:pPr>
        <w:pStyle w:val="ListBullet"/>
      </w:pPr>
      <w:r>
        <w:t>Approve business continuity and disaster recovery plans.</w:t>
      </w:r>
    </w:p>
    <w:p>
      <w:pPr>
        <w:pStyle w:val="ListBullet"/>
      </w:pPr>
      <w:r>
        <w:t>Report security and continuity status to the Board of Directors or owners.</w:t>
      </w:r>
    </w:p>
    <w:p>
      <w:pPr>
        <w:pStyle w:val="ListBullet"/>
      </w:pPr>
      <w:r>
        <w:t>Decide whether the organization carries cyber insurance, and review the coverage and the security requirements the insurer imposes at least annually.</w:t>
      </w:r>
    </w:p>
    <w:p>
      <w:pPr>
        <w:pStyle w:val="Heading2"/>
      </w:pPr>
      <w:r>
        <w:t>4.2 Information Security Lead</w:t>
      </w:r>
    </w:p>
    <w:p>
      <w:pPr>
        <w:pStyle w:val="ListBullet"/>
        <w:keepNext/>
      </w:pPr>
      <w:r>
        <w:t>Run the Information Security Program day to day.</w:t>
      </w:r>
    </w:p>
    <w:p>
      <w:pPr>
        <w:pStyle w:val="ListBullet"/>
      </w:pPr>
      <w:r>
        <w:t>Develop and maintain security policies, and bring them to Executive Management for approval.</w:t>
      </w:r>
    </w:p>
    <w:p>
      <w:pPr>
        <w:pStyle w:val="ListBullet"/>
      </w:pPr>
      <w:r>
        <w:t>Lead risk assessments.</w:t>
      </w:r>
    </w:p>
    <w:p>
      <w:pPr>
        <w:pStyle w:val="ListBullet"/>
      </w:pPr>
      <w:r>
        <w:t>Maintain the asset inventory and the asset owners it records.</w:t>
      </w:r>
    </w:p>
    <w:p>
      <w:pPr>
        <w:pStyle w:val="ListBullet"/>
      </w:pPr>
      <w:r>
        <w:t>Maintain the risk register and recommend how each risk is treated.</w:t>
      </w:r>
    </w:p>
    <w:p>
      <w:pPr>
        <w:pStyle w:val="ListBullet"/>
      </w:pPr>
      <w:r>
        <w:t>Oversee security operations, including monitoring, vulnerability management, and the security configuration of systems.</w:t>
      </w:r>
    </w:p>
    <w:p>
      <w:pPr>
        <w:pStyle w:val="ListBullet"/>
      </w:pPr>
      <w:r>
        <w:t>Lead the response to security incidents and report significant incidents to Executive Management.</w:t>
      </w:r>
    </w:p>
    <w:p>
      <w:pPr>
        <w:pStyle w:val="ListBullet"/>
      </w:pPr>
      <w:r>
        <w:t>Develop and test business continuity and disaster recovery plans.</w:t>
      </w:r>
    </w:p>
    <w:p>
      <w:pPr>
        <w:pStyle w:val="ListBullet"/>
      </w:pPr>
      <w:r>
        <w:t>Run the security awareness training program.</w:t>
      </w:r>
    </w:p>
    <w:p>
      <w:pPr>
        <w:pStyle w:val="ListBullet"/>
      </w:pPr>
      <w:r>
        <w:t>Review the security of vendors and service providers.</w:t>
      </w:r>
    </w:p>
    <w:p>
      <w:pPr>
        <w:pStyle w:val="ListBullet"/>
      </w:pPr>
      <w:r>
        <w:t xml:space="preserve">Approve the tools and services Section 3.3 requires the organization to approve, keep the list where everyone covered by this policy can find it </w:t>
      </w:r>
      <w:r>
        <w:rPr>
          <w:highlight w:val="yellow"/>
        </w:rPr>
        <w:t xml:space="preserve">[name the place, for example the intranet page or shared folder where the list is kept]</w:t>
      </w:r>
      <w:r>
        <w:t xml:space="preserve">, and record on it the sensitivity levels each approval covers. Publish the list within </w:t>
      </w:r>
      <w:r>
        <w:rPr>
          <w:highlight w:val="yellow"/>
        </w:rPr>
        <w:t xml:space="preserve">[90 days]</w:t>
      </w:r>
      <w:r>
        <w:t xml:space="preserve"> of the effective date (keep this window matched to the Acceptable Use Policy). Until it is published, the tools and services the organization already provides count as approved for the information they are already used for.</w:t>
      </w:r>
    </w:p>
    <w:p>
      <w:pPr>
        <w:pStyle w:val="ListBullet"/>
      </w:pPr>
      <w:r>
        <w:t>Maintain the exception register (see Section 6.0).</w:t>
      </w:r>
    </w:p>
    <w:p>
      <w:pPr>
        <w:pStyle w:val="ListBullet"/>
      </w:pPr>
      <w:r>
        <w:t xml:space="preserve">Report on the program's status </w:t>
      </w:r>
      <w:r>
        <w:rPr>
          <w:highlight w:val="yellow"/>
        </w:rPr>
        <w:t xml:space="preserve">[at least quarterly]</w:t>
      </w:r>
      <w:r>
        <w:t xml:space="preserve">; where one person is both Executive Management and the Information Security Lead, the report is a written record kept under Section 3.1.</w:t>
      </w:r>
    </w:p>
    <w:p>
      <w:pPr>
        <w:pStyle w:val="Heading2"/>
      </w:pPr>
      <w:r>
        <w:t>4.3 Security Operations</w:t>
      </w:r>
    </w:p>
    <w:p>
      <w:r>
        <w:t>The organization shall assign the security operations function to an internal team or a qualified service provider; in a small organization the Information Security Lead performs it. The function reports to the Information Security Lead; where one person is both the Information Security Lead and security operations, the escalations and reports in this section are written records kept under Section 3.1. IT means whoever runs the organization's systems day to day, whether that is an internal team, one person, or a service provider.</w:t>
      </w:r>
    </w:p>
    <w:p>
      <w:pPr>
        <w:pStyle w:val="ListBullet"/>
        <w:keepNext/>
      </w:pPr>
      <w:r>
        <w:t>Deploy, configure, and manage the security tools that enforce this policy across workstations, servers, and cloud services.</w:t>
      </w:r>
    </w:p>
    <w:p>
      <w:pPr>
        <w:pStyle w:val="ListBullet"/>
      </w:pPr>
      <w:r>
        <w:t>Monitor security alerts and logs, investigate suspicious activity, and escalate threats to the Information Security Lead.</w:t>
      </w:r>
    </w:p>
    <w:p>
      <w:pPr>
        <w:pStyle w:val="ListBullet"/>
      </w:pPr>
      <w:r>
        <w:t>Apply approved security configurations and keep them current.</w:t>
      </w:r>
    </w:p>
    <w:p>
      <w:pPr>
        <w:pStyle w:val="ListBullet"/>
      </w:pPr>
      <w:r>
        <w:t>Investigate and document security incidents and support the response.</w:t>
      </w:r>
    </w:p>
    <w:p>
      <w:pPr>
        <w:pStyle w:val="ListBullet"/>
      </w:pPr>
      <w:r>
        <w:t>Recommend improvements and new security technologies.</w:t>
      </w:r>
    </w:p>
    <w:p>
      <w:pPr>
        <w:pStyle w:val="Heading2"/>
      </w:pPr>
      <w:r>
        <w:t>4.4 Human Resources</w:t>
      </w:r>
    </w:p>
    <w:p>
      <w:r>
        <w:t xml:space="preserve">Where the organization has no Human Resources function, these duties are assigned to </w:t>
      </w:r>
      <w:r>
        <w:rPr>
          <w:highlight w:val="yellow"/>
        </w:rPr>
        <w:t>[a named manager or the Information Security Lead]</w:t>
      </w:r>
      <w:r>
        <w:t>.</w:t>
      </w:r>
    </w:p>
    <w:p>
      <w:pPr>
        <w:pStyle w:val="ListBullet"/>
        <w:keepNext/>
      </w:pPr>
      <w:r>
        <w:t>Where local law permits, carry out background and reference checks for security-sensitive roles (the Information Security Lead designates which roles qualify), and record that each required check was completed.</w:t>
      </w:r>
    </w:p>
    <w:p>
      <w:pPr>
        <w:pStyle w:val="ListBullet"/>
      </w:pPr>
      <w:r>
        <w:t>Collect and keep policy acknowledgments on the schedule Section 3.1 sets.</w:t>
      </w:r>
    </w:p>
    <w:p>
      <w:pPr>
        <w:pStyle w:val="ListBullet"/>
      </w:pPr>
      <w:r>
        <w:t>Obtain confidentiality or non-disclosure agreements from employees, contractors, and third parties with access to sensitive information.</w:t>
      </w:r>
    </w:p>
    <w:p>
      <w:pPr>
        <w:pStyle w:val="ListBullet"/>
      </w:pPr>
      <w:r>
        <w:t>Track required annual training.</w:t>
      </w:r>
    </w:p>
    <w:p>
      <w:pPr>
        <w:pStyle w:val="ListBullet"/>
      </w:pPr>
      <w:r>
        <w:t>Together with management, apply the disciplinary process when security policies are violated.</w:t>
      </w:r>
    </w:p>
    <w:p>
      <w:pPr>
        <w:pStyle w:val="ListBullet"/>
      </w:pPr>
      <w:r>
        <w:t>Manage offboarding when someone leaves: collect organization-issued equipment, and coordinate with IT and security operations so that system access is removed immediately.</w:t>
      </w:r>
    </w:p>
    <w:p>
      <w:pPr>
        <w:pStyle w:val="Heading2"/>
      </w:pPr>
      <w:r>
        <w:t>4.5 All Employees, Contractors, and Other Authorized Users</w:t>
      </w:r>
    </w:p>
    <w:p>
      <w:pPr>
        <w:pStyle w:val="ListBullet"/>
        <w:keepNext/>
      </w:pPr>
      <w:r>
        <w:t>Follow this policy and the applicable supporting policies.</w:t>
      </w:r>
    </w:p>
    <w:p>
      <w:pPr>
        <w:pStyle w:val="ListBullet"/>
      </w:pPr>
      <w:r>
        <w:t>Read and acknowledge the policies that apply to you, on the schedule Section 3.1 sets.</w:t>
      </w:r>
    </w:p>
    <w:p>
      <w:pPr>
        <w:pStyle w:val="ListBullet"/>
      </w:pPr>
      <w:r>
        <w:t>Complete required security training.</w:t>
      </w:r>
    </w:p>
    <w:p>
      <w:pPr>
        <w:pStyle w:val="ListBullet"/>
      </w:pPr>
      <w:r>
        <w:t>Protect assigned accounts, passwords, and devices, and never share credentials.</w:t>
      </w:r>
    </w:p>
    <w:p>
      <w:pPr>
        <w:pStyle w:val="ListBullet"/>
      </w:pPr>
      <w:r>
        <w:t>Report suspected security incidents and policy violations promptly, using the contacts in Appendix 1.</w:t>
      </w:r>
    </w:p>
    <w:p>
      <w:pPr>
        <w:pStyle w:val="Heading1"/>
      </w:pPr>
      <w:r>
        <w:t>5.0 Policy Review and Updates</w:t>
      </w:r>
    </w:p>
    <w:p>
      <w:r>
        <w:t>This policy and its supporting policies shall be reviewed at least annually, and sooner when the business, technology, regulations, or the threat environment change significantly. The Information Security Lead starts the review and gathers input from security operations, Human Resources, and Executive Management. Executive Management reviews and approves changes before they take effect.</w:t>
      </w:r>
    </w:p>
    <w:p>
      <w:r>
        <w:t>The Information Security Lead shall communicate significant changes to everyone this policy covers.</w:t>
      </w:r>
    </w:p>
    <w:p>
      <w:pPr>
        <w:pStyle w:val="Heading1"/>
      </w:pPr>
      <w:r>
        <w:t>6.0 Exceptions</w:t>
      </w:r>
    </w:p>
    <w:p>
      <w:r>
        <w:t xml:space="preserve">Any planned deviation from this policy or its supporting policies requires a documented exception. A gap that is discovered rather than planned is reported under Section 7.0 and corrected under Section 3.1; if it must stay open afterward, an exception is requested </w:t>
      </w:r>
      <w:r>
        <w:rPr>
          <w:highlight w:val="yellow"/>
        </w:rPr>
        <w:t xml:space="preserve">[the same day; keep this matched to the exception register's How to Use sheet]</w:t>
      </w:r>
      <w:r>
        <w:t xml:space="preserve">. A deviation someone chose to make without approval, or a discovered gap kept outside this process, is a violation (see Section 8.0). Requests shall be submitted in writing to the Information Security Lead and shall describe the business reason, what the exception covers, how long it is needed, and any temporary safeguards that reduce the risk.</w:t>
      </w:r>
    </w:p>
    <w:p>
      <w:r>
        <w:t>The Information Security Lead assesses the risk of each request and approves or denies it. If the Information Security Lead is the requester, Executive Management approves or denies the request. Exceptions that carry significant risk also require Executive Management approval. The Information Security Lead judges that risk with the temporary safeguards in place. Where it would be significant without them, it is still recorded and accepted under Section 3.2, whether or not the exception itself needed Executive Management's approval.</w:t>
      </w:r>
    </w:p>
    <w:p>
      <w:r>
        <w:t>Every exception shall have an end date no more than twelve months out. It shall be recorded in the central record of exceptions and reviewed before any renewal. When an exception expires, either the exception is renewed through the same process or the deviation is fixed. A second or later renewal of the same exception requires Executive Management approval, whatever its risk level; repeated renewal is a sign the deviation should be fixed or formally accepted as a risk under Section 3.2.</w:t>
      </w:r>
    </w:p>
    <w:p>
      <w:r>
        <w:rPr>
          <w:highlight w:val="yellow"/>
        </w:rPr>
        <w:t xml:space="preserve">[Where the organization keeps a Statement of Applicability (Section 3.2), the Information Security Lead checks whether an approved exception changes what that record says about the control it excepts, and updates it in the same sitting.]</w:t>
      </w:r>
    </w:p>
    <w:p>
      <w:pPr>
        <w:pStyle w:val="Heading1"/>
      </w:pPr>
      <w:r>
        <w:t>7.0 Reporting Security Incidents and Concerns</w:t>
      </w:r>
    </w:p>
    <w:p>
      <w:r>
        <w:t>Everyone covered by this policy shall report suspected security incidents, policy violations, and other security concerns promptly through the contacts in Appendix 1. A report may also be made to any manager, who shall pass it to those contacts.</w:t>
      </w:r>
    </w:p>
    <w:p>
      <w:r>
        <w:t xml:space="preserve">A concern that involves the Information Security Lead, or anyone named in those contacts other than Executive Management, goes instead directly to Executive Management. A concern that involves Executive Management goes to the Board of Directors or the owners. A manager who receives either kind of report passes it on. </w:t>
      </w:r>
      <w:r>
        <w:rPr>
          <w:highlight w:val="yellow"/>
        </w:rPr>
        <w:t xml:space="preserve">[Where there is no Board and no separate owner, the organization names an outside contact for these reports, such as its accountant, its lawyer, or an external security adviser, and records that name in Appendix 1.]</w:t>
      </w:r>
    </w:p>
    <w:p>
      <w:r>
        <w:t>Incidents are handled under the process Section 3.10 requires. Security operations investigates first; where no separate function exists, the Information Security Lead investigates. Significant incidents are escalated to the Information Security Lead; Executive Management defines what counts as significant (Section 3.2). Executive Management is informed whenever an incident may have legal, regulatory, or serious business consequences.</w:t>
      </w:r>
    </w:p>
    <w:p>
      <w:r>
        <w:t>Failing to report a security incident you know about or reasonably suspect is itself a policy violation (see Section 8.0).</w:t>
      </w:r>
    </w:p>
    <w:p>
      <w:r>
        <w:t xml:space="preserve">The organization does not punish anyone for making a good-faith report. </w:t>
      </w:r>
      <w:r>
        <w:rPr>
          <w:highlight w:val="yellow"/>
        </w:rPr>
        <w:t xml:space="preserve">[It treats an honest mistake reported promptly more leniently than one concealed, and a late report more leniently than no report at all.]</w:t>
      </w:r>
      <w:r>
        <w:t xml:space="preserve"> Any discipline for the underlying conduct follows Section 8.0.</w:t>
      </w:r>
    </w:p>
    <w:p>
      <w:r>
        <w:t>Workplace concerns that are not about information security, such as harassment, health and safety, or performance issues, are handled under the organization's employee handbook and Human Resources policies.</w:t>
      </w:r>
    </w:p>
    <w:p>
      <w:pPr>
        <w:pStyle w:val="Heading1"/>
      </w:pPr>
      <w:r>
        <w:t>8.0 Violations and Disciplinary Action</w:t>
      </w:r>
    </w:p>
    <w:p>
      <w:r>
        <w:t>Anyone who violates the organization's information security policies can face disciplinary action, up to and including termination of employment or contract, and legal action where applicable.</w:t>
      </w:r>
    </w:p>
    <w:p>
      <w:r>
        <w:t>The response to a violation will depend on its severity, its impact on the organization's security, and any legal or regulatory requirements. The organization reserves the right to investigate suspected violations and act to protect its systems, data, and operations.</w:t>
      </w:r>
    </w:p>
    <w:p>
      <w:pPr>
        <w:pStyle w:val="Heading1"/>
      </w:pPr>
      <w:r>
        <w:t>9.0 Related Policies and Standards</w:t>
      </w:r>
    </w:p>
    <w:p>
      <w:r>
        <w:t xml:space="preserve">This policy is the top-level document of the organization's information security policy set. Supporting policies add detail and may set stricter rules; a stricter rule is not a conflict. If a supporting policy contradicts this policy, this policy prevails. The Information Security Lead decides whether two rules actually conflict or one is simply stricter. </w:t>
      </w:r>
      <w:r>
        <w:rPr>
          <w:highlight w:val="yellow"/>
        </w:rPr>
        <w:t xml:space="preserve">[Adopt, rename, or combine the documents in this section to fit the organization. Where a document named anywhere in this policy is renamed, the reference means whatever the organization calls it.]</w:t>
      </w:r>
      <w:r>
        <w:t xml:space="preserve"> Treat a document that does not exist yet as a roadmap item. This policy's requirements apply even before a supporting document exists. Where a policy in this set says "IT or security operations", either may act; "security operations, with IT" names security operations as the owner, assisted by IT.</w:t>
      </w:r>
    </w:p>
    <w:p>
      <w:r>
        <w:t>Most organizations need these core supporting documents: an Acceptable Use Policy; an Access Control Policy; an Incident Response Policy; a Business Continuity &amp; Disaster Recovery Plan; a Vendor Risk Management Policy; and a Data Handling Policy covering classification, retention, and disposal.</w:t>
      </w:r>
    </w:p>
    <w:p>
      <w:r>
        <w:t xml:space="preserve">Further topics each have their own supporting document: an Encryption Policy; a Change Management Policy; a Vulnerability Management Policy; a Logging and Monitoring Policy; an Email Security Policy; a Remote Work &amp; Mobile Device Policy; a Physical and Environmental Security Policy; a Secure Development Policy; and, where the organization uses AI tools, an AI Acceptable Use Policy. </w:t>
      </w:r>
      <w:r>
        <w:rPr>
          <w:highlight w:val="yellow"/>
        </w:rPr>
        <w:t xml:space="preserve">[Smaller organizations often fold these topics into the core documents, or combine them into a single technical security standard.]</w:t>
      </w:r>
      <w:r>
        <w:t xml:space="preserve"> The policy set assumes primarily cloud-hosted services; an organization that runs its own office network or servers extends Section 3.6 with rules for that network (wireless access, guest separation, and firewall changes) as a roadmap item.</w:t>
      </w:r>
    </w:p>
    <w:p>
      <w:r>
        <w:rPr>
          <w:highlight w:val="yellow"/>
        </w:rPr>
        <w:t xml:space="preserve">[Cyber insurance applications commonly ask about the topics in the Vulnerability Management, Remote Work &amp; Mobile Device, and Email Security policies as well as the core documents; check the questions on the actual application. A SOC 2 audit (an independent auditor's report on a service organization's security controls, which may also cover availability, processing integrity, confidentiality, or privacy) also reaches the Change Management and Logging and Monitoring policies.]</w:t>
      </w:r>
    </w:p>
    <w:p>
      <w:r>
        <w:t>The statements in Section 3.0 span all four control groups of ISO/IEC 27001:2022 Annex A: organizational, people, physical, and technological. At a policy level, they also address the six functions of the NIST Cybersecurity Framework 2.0: Govern, Identify, Protect, Detect, Respond, and Recover. Organizations that want a detailed catalog of individual controls can draw on the CIS Critical Security Controls or NIST Special Publication (SP) 800-53. Refer to cisecurity.org/controls for the current version of the CIS Controls.</w:t>
      </w:r>
    </w:p>
    <w:p>
      <w:r>
        <w:t>This mapping shows where the policy meets recognized good practice. It is not a certification, and adopting the policy set satisfies no legal, regulatory, or contractual obligation on its own. The organization still identifies the requirements that apply to it and confirms how it meets them (Section 3.1).</w:t>
      </w:r>
    </w:p>
    <w:p>
      <w:pPr>
        <w:pStyle w:val="Heading1"/>
      </w:pPr>
      <w:r>
        <w:t>Appendix 1: Incident Reporting Contacts</w:t>
      </w:r>
    </w:p>
    <w:p>
      <w:pPr>
        <w:keepNext/>
      </w:pPr>
      <w:r>
        <w:t>Fill in every row before this policy takes effect. The Information Security Lead keeps the table current, and the supporting policies point here for their reporting contacts.</w:t>
      </w:r>
    </w:p>
    <w:tbl>
      <w:tblPr>
        <w:tblStyle w:val="TableGrid"/>
        <w:tblW w:type="auto" w:w="0"/>
        <w:tblLook w:firstColumn="1" w:firstRow="1" w:lastColumn="0" w:lastRow="0" w:noHBand="0" w:noVBand="1" w:val="04A0"/>
      </w:tblPr>
      <w:tblGrid>
        <w:gridCol w:w="2700"/>
        <w:gridCol w:w="2700"/>
        <w:gridCol w:w="2700"/>
        <w:gridCol w:w="2700"/>
      </w:tblGrid>
      <w:tr>
        <w:trPr>
          <w:cantSplit/>
          <w:tblHeader/>
        </w:trPr>
        <w:tc>
          <w:tcPr>
            <w:tcW w:type="dxa" w:w="2700"/>
          </w:tcPr>
          <w:p>
            <w:pPr>
              <w:keepNext/>
            </w:pPr>
            <w:r>
              <w:rPr>
                <w:b/>
              </w:rPr>
              <w:t>Category</w:t>
            </w:r>
          </w:p>
        </w:tc>
        <w:tc>
          <w:tcPr>
            <w:tcW w:type="dxa" w:w="2700"/>
          </w:tcPr>
          <w:p>
            <w:pPr>
              <w:keepNext/>
            </w:pPr>
            <w:r>
              <w:rPr>
                <w:b/>
              </w:rPr>
              <w:t>Contact (person or team)</w:t>
            </w:r>
          </w:p>
        </w:tc>
        <w:tc>
          <w:tcPr>
            <w:tcW w:type="dxa" w:w="2700"/>
          </w:tcPr>
          <w:p>
            <w:pPr>
              <w:keepNext/>
            </w:pPr>
            <w:r>
              <w:rPr>
                <w:b/>
              </w:rPr>
              <w:t>Email address</w:t>
            </w:r>
          </w:p>
        </w:tc>
        <w:tc>
          <w:tcPr>
            <w:tcW w:type="dxa" w:w="2700"/>
          </w:tcPr>
          <w:p>
            <w:pPr>
              <w:keepNext/>
            </w:pPr>
            <w:r>
              <w:rPr>
                <w:b/>
              </w:rPr>
              <w:t>Phone number</w:t>
            </w:r>
          </w:p>
        </w:tc>
      </w:tr>
      <w:tr>
        <w:trPr>
          <w:cantSplit/>
        </w:trPr>
        <w:tc>
          <w:tcPr>
            <w:tcW w:type="dxa" w:w="2700"/>
          </w:tcPr>
          <w:p>
            <w:pPr>
              <w:keepNext/>
            </w:pPr>
            <w:r>
              <w:t>Security incident reporting</w:t>
            </w:r>
          </w:p>
        </w:tc>
        <w:tc>
          <w:tcPr>
            <w:tcW w:type="dxa" w:w="2700"/>
          </w:tcPr>
          <w:p>
            <w:pPr>
              <w:keepNext/>
            </w:pPr>
            <w:r>
              <w:rPr>
                <w:highlight w:val="yellow"/>
              </w:rPr>
              <w:t>[Name or team]</w:t>
            </w:r>
          </w:p>
        </w:tc>
        <w:tc>
          <w:tcPr>
            <w:tcW w:type="dxa" w:w="2700"/>
          </w:tcPr>
          <w:p>
            <w:pPr>
              <w:keepNext/>
            </w:pPr>
            <w:r>
              <w:rPr>
                <w:highlight w:val="yellow"/>
              </w:rPr>
              <w:t>[Email address]</w:t>
            </w:r>
          </w:p>
        </w:tc>
        <w:tc>
          <w:tcPr>
            <w:tcW w:type="dxa" w:w="2700"/>
          </w:tcPr>
          <w:p>
            <w:pPr>
              <w:keepNext/>
            </w:pPr>
            <w:r>
              <w:rPr>
                <w:highlight w:val="yellow"/>
              </w:rPr>
              <w:t>[Phone number]</w:t>
            </w:r>
          </w:p>
        </w:tc>
      </w:tr>
      <w:tr>
        <w:trPr>
          <w:cantSplit/>
        </w:trPr>
        <w:tc>
          <w:tcPr>
            <w:tcW w:type="dxa" w:w="2700"/>
          </w:tcPr>
          <w:p>
            <w:pPr>
              <w:keepNext/>
            </w:pPr>
            <w:r>
              <w:t>Policy violation reporting</w:t>
            </w:r>
          </w:p>
        </w:tc>
        <w:tc>
          <w:tcPr>
            <w:tcW w:type="dxa" w:w="2700"/>
          </w:tcPr>
          <w:p>
            <w:pPr>
              <w:keepNext/>
            </w:pPr>
            <w:r>
              <w:rPr>
                <w:highlight w:val="yellow"/>
              </w:rPr>
              <w:t>[Name or team]</w:t>
            </w:r>
          </w:p>
        </w:tc>
        <w:tc>
          <w:tcPr>
            <w:tcW w:type="dxa" w:w="2700"/>
          </w:tcPr>
          <w:p>
            <w:pPr>
              <w:keepNext/>
            </w:pPr>
            <w:r>
              <w:rPr>
                <w:highlight w:val="yellow"/>
              </w:rPr>
              <w:t>[Email address]</w:t>
            </w:r>
          </w:p>
        </w:tc>
        <w:tc>
          <w:tcPr>
            <w:tcW w:type="dxa" w:w="2700"/>
          </w:tcPr>
          <w:p>
            <w:pPr>
              <w:keepNext/>
            </w:pPr>
            <w:r>
              <w:rPr>
                <w:highlight w:val="yellow"/>
              </w:rPr>
              <w:t>[Phone number]</w:t>
            </w:r>
          </w:p>
        </w:tc>
      </w:tr>
      <w:tr>
        <w:trPr>
          <w:cantSplit/>
        </w:trPr>
        <w:tc>
          <w:tcPr>
            <w:tcW w:type="dxa" w:w="2700"/>
          </w:tcPr>
          <w:p>
            <w:pPr>
              <w:keepNext/>
            </w:pPr>
            <w:r>
              <w:t>Concerns involving the Information Security Lead or a contact listed above</w:t>
            </w:r>
          </w:p>
        </w:tc>
        <w:tc>
          <w:tcPr>
            <w:tcW w:type="dxa" w:w="2700"/>
          </w:tcPr>
          <w:p>
            <w:pPr>
              <w:keepNext/>
            </w:pPr>
            <w:r>
              <w:rPr>
                <w:highlight w:val="yellow"/>
              </w:rPr>
              <w:t>[Executive Management: name or role]</w:t>
            </w:r>
          </w:p>
        </w:tc>
        <w:tc>
          <w:tcPr>
            <w:tcW w:type="dxa" w:w="2700"/>
          </w:tcPr>
          <w:p>
            <w:pPr>
              <w:keepNext/>
            </w:pPr>
            <w:r>
              <w:rPr>
                <w:highlight w:val="yellow"/>
              </w:rPr>
              <w:t>[Email address]</w:t>
            </w:r>
          </w:p>
        </w:tc>
        <w:tc>
          <w:tcPr>
            <w:tcW w:type="dxa" w:w="2700"/>
          </w:tcPr>
          <w:p>
            <w:pPr>
              <w:keepNext/>
            </w:pPr>
            <w:r>
              <w:rPr>
                <w:highlight w:val="yellow"/>
              </w:rPr>
              <w:t>[Phone number]</w:t>
            </w:r>
          </w:p>
        </w:tc>
      </w:tr>
      <w:tr>
        <w:trPr>
          <w:cantSplit/>
        </w:trPr>
        <w:tc>
          <w:tcPr>
            <w:tcW w:type="dxa" w:w="2700"/>
          </w:tcPr>
          <w:p>
            <w:pPr>
              <w:keepNext/>
            </w:pPr>
            <w:r>
              <w:t>Concerns involving Executive Management</w:t>
            </w:r>
          </w:p>
        </w:tc>
        <w:tc>
          <w:tcPr>
            <w:tcW w:type="dxa" w:w="2700"/>
          </w:tcPr>
          <w:p>
            <w:pPr>
              <w:keepNext/>
            </w:pPr>
            <w:r>
              <w:rPr>
                <w:highlight w:val="yellow"/>
              </w:rPr>
              <w:t>[Board of Directors, owners, or the outside contact named in Section 7.0: name or role]</w:t>
            </w:r>
          </w:p>
        </w:tc>
        <w:tc>
          <w:tcPr>
            <w:tcW w:type="dxa" w:w="2700"/>
          </w:tcPr>
          <w:p>
            <w:pPr>
              <w:keepNext/>
            </w:pPr>
            <w:r>
              <w:rPr>
                <w:highlight w:val="yellow"/>
              </w:rPr>
              <w:t>[Email address]</w:t>
            </w:r>
          </w:p>
        </w:tc>
        <w:tc>
          <w:tcPr>
            <w:tcW w:type="dxa" w:w="2700"/>
          </w:tcPr>
          <w:p>
            <w:pPr>
              <w:keepNext/>
            </w:pPr>
            <w:r>
              <w:rPr>
                <w:highlight w:val="yellow"/>
              </w:rPr>
              <w:t>[Phone number]</w:t>
            </w:r>
          </w:p>
        </w:tc>
      </w:tr>
      <w:tr>
        <w:trPr>
          <w:cantSplit/>
        </w:trPr>
        <w:tc>
          <w:tcPr>
            <w:tcW w:type="dxa" w:w="2700"/>
          </w:tcPr>
          <w:p>
            <w:pPr>
              <w:keepNext/>
            </w:pPr>
            <w:r>
              <w:t>General security questions</w:t>
            </w:r>
          </w:p>
        </w:tc>
        <w:tc>
          <w:tcPr>
            <w:tcW w:type="dxa" w:w="2700"/>
          </w:tcPr>
          <w:p>
            <w:pPr>
              <w:keepNext/>
            </w:pPr>
            <w:r>
              <w:rPr>
                <w:highlight w:val="yellow"/>
              </w:rPr>
              <w:t>[Name or team]</w:t>
            </w:r>
          </w:p>
        </w:tc>
        <w:tc>
          <w:tcPr>
            <w:tcW w:type="dxa" w:w="2700"/>
          </w:tcPr>
          <w:p>
            <w:pPr>
              <w:keepNext/>
            </w:pPr>
            <w:r>
              <w:rPr>
                <w:highlight w:val="yellow"/>
              </w:rPr>
              <w:t>[Email address]</w:t>
            </w:r>
          </w:p>
        </w:tc>
        <w:tc>
          <w:tcPr>
            <w:tcW w:type="dxa" w:w="2700"/>
          </w:tcPr>
          <w:p>
            <w:pPr>
              <w:keepNext/>
            </w:pPr>
            <w:r>
              <w:rPr>
                <w:highlight w:val="yellow"/>
              </w:rPr>
              <w:t>[Phone number]</w:t>
            </w:r>
          </w:p>
        </w:tc>
      </w:tr>
      <w:tr>
        <w:trPr>
          <w:cantSplit/>
        </w:trPr>
        <w:tc>
          <w:tcPr>
            <w:tcW w:type="dxa" w:w="2700"/>
          </w:tcPr>
          <w:p>
            <w:r>
              <w:t>Emergency services</w:t>
            </w:r>
          </w:p>
        </w:tc>
        <w:tc>
          <w:tcPr>
            <w:tcW w:type="dxa" w:w="2700"/>
          </w:tcPr>
          <w:p>
            <w:r>
              <w:rPr>
                <w:highlight w:val="yellow"/>
              </w:rPr>
              <w:t>[Local emergency services]</w:t>
            </w:r>
          </w:p>
        </w:tc>
        <w:tc>
          <w:tcPr>
            <w:tcW w:type="dxa" w:w="2700"/>
          </w:tcPr>
          <w:p>
            <w:r>
              <w:t>Not applicable</w:t>
            </w:r>
          </w:p>
        </w:tc>
        <w:tc>
          <w:tcPr>
            <w:tcW w:type="dxa" w:w="2700"/>
          </w:tcPr>
          <w:p>
            <w:r>
              <w:rPr>
                <w:highlight w:val="yellow"/>
              </w:rPr>
              <w:t>[Local emergency number, e.g., 911]</w:t>
            </w:r>
          </w:p>
        </w:tc>
      </w:tr>
    </w:tbl>
    <w:p>
      <w:pPr>
        <w:spacing w:before="0" w:after="0" w:line="20" w:lineRule="exact"/>
        <w:rPr>
          <w:sz w:val="4"/>
          <w:szCs w:val="4"/>
        </w:rPr>
      </w:pPr>
    </w:p>
    <w:sectPr w:rsidR="00FC693F" w:rsidRPr="0006063C" w:rsidSect="00034616">
      <w:footerReference w:type="default" r:id="rI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val="clear" w:pos="4680"/>
        <w:tab w:val="clear" w:pos="9360"/>
        <w:tab w:val="right" w:pos="10800"/>
      </w:tabs>
    </w:pPr>
    <w:r>
      <w:rPr>
        <w:color w:val="3A475C"/>
        <w:sz w:val="18"/>
      </w:rPr>
      <w:t xml:space="preserve">©2026 anoBytes Technology Solutions LLC | anobytes.com</w:t>
    </w:r>
    <w:r>
      <w:rPr>
        <w:color w:val="3A475C"/>
        <w:sz w:val="18"/>
      </w:rPr>
      <w:tab/>
    </w:r>
    <w:r>
      <w:rPr>
        <w:color w:val="3A475C"/>
        <w:sz w:val="18"/>
      </w:rPr>
      <w:t xml:space="preserve">Information Security Policy | Page </w:t>
    </w:r>
    <w:r>
      <w:rPr>
        <w:color w:val="3A475C"/>
        <w:sz w:val="18"/>
      </w:rPr>
      <w:fldChar w:fldCharType="begin"/>
    </w:r>
    <w:r>
      <w:rPr>
        <w:color w:val="3A475C"/>
        <w:sz w:val="18"/>
      </w:rPr>
      <w:instrText xml:space="preserve"> PAGE </w:instrText>
    </w:r>
    <w:r>
      <w:rPr>
        <w:color w:val="3A475C"/>
        <w:sz w:val="18"/>
      </w:rPr>
      <w:fldChar w:fldCharType="separate"/>
    </w:r>
    <w:r>
      <w:rPr>
        <w:color w:val="3A475C"/>
        <w:sz w:val="18"/>
      </w:rPr>
      <w:t>1</w:t>
    </w:r>
    <w:r>
      <w:rPr>
        <w:color w:val="3A475C"/>
        <w:sz w:val="18"/>
      </w:rPr>
      <w:fldChar w:fldCharType="end"/>
    </w:r>
    <w:r>
      <w:rPr>
        <w:color w:val="3A475C"/>
        <w:sz w:val="18"/>
      </w:rPr>
      <w:t xml:space="preserve"> of </w:t>
    </w:r>
    <w:r>
      <w:rPr>
        <w:color w:val="3A475C"/>
        <w:sz w:val="18"/>
      </w:rPr>
      <w:fldChar w:fldCharType="begin"/>
    </w:r>
    <w:r>
      <w:rPr>
        <w:color w:val="3A475C"/>
        <w:sz w:val="18"/>
      </w:rPr>
      <w:instrText xml:space="preserve"> NUMPAGES </w:instrText>
    </w:r>
    <w:r>
      <w:rPr>
        <w:color w:val="3A475C"/>
        <w:sz w:val="18"/>
      </w:rPr>
      <w:fldChar w:fldCharType="separate"/>
    </w:r>
    <w:r>
      <w:rPr>
        <w:color w:val="3A475C"/>
        <w:sz w:val="18"/>
      </w:rPr>
      <w:t>8</w:t>
    </w:r>
    <w:r>
      <w:rPr>
        <w:color w:val="3A475C"/>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720"/>
        </w:tabs>
        <w:ind w:left="72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s="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eastAsiaTheme="majorEastAsia" w:ascii="Arial" w:hAnsi="Arial" w:cs="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eastAsiaTheme="majorEastAsia" w:ascii="Arial" w:hAnsi="Arial" w:cs="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eastAsiaTheme="majorEastAsia" w:ascii="Arial" w:hAnsi="Arial" w:cs="Arial"/>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2902</Words>
  <Characters>17081</Characters>
  <DocSecurity>0</DocSecurity>
  <Lines>179</Lines>
  <Paragraphs>142</Paragraphs>
  <ScaleCrop>false</ScaleCrop>
  <HeadingPairs>
    <vt:vector size="2" baseType="variant">
      <vt:variant>
        <vt:lpstr>Title</vt:lpstr>
      </vt:variant>
      <vt:variant>
        <vt:i4>1</vt:i4>
      </vt:variant>
    </vt:vector>
  </HeadingPairs>
  <TitlesOfParts>
    <vt:vector size="1" baseType="lpstr">
      <vt:lpstr>Information Security Policy</vt:lpstr>
    </vt:vector>
  </TitlesOfParts>
  <Manager/>
  <Company>anoBytes Technology Solutions LLC</Company>
  <LinksUpToDate>false</LinksUpToDate>
  <CharactersWithSpaces>19831</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dc:title>Information Security Policy</dc:title>
  <dc:subject>Information security policy template</dc:subject>
  <dc:creator>Nelson Pereira, anoBytes Technology Solutions LLC</dc:creator>
  <cp:keywords>risk management, risk appetite, risk assessment, risk register, exception register, risk treatment plan, information security program, information security management system, isms, iso/iec 27001, annex a, statement of applicability, nist cybersecurity framework, csf, security policies, supporting policies, information assets, asset inventory, critical activity, least privilege, security awareness training, internal audit, management review, edr, endpoint detection and response, security configuration, secure baseline, benchmark, cis critical security controls, 800-53, soc 2, interested parties, executive management, information security lead, security operations, roles and responsibilities, access control, multi-factor authentication, mfa, passkey, incident reporting, business continuity, recovery time objective, recovery point objective, rto, rpo, cyber insurance, software supply chain, legal advice, climate change, personal information, privacy laws, accepted risk, risk owner, significant risk, security objectives, acknowledgment, policy acknowledgments, background and reference checks, confidentiality agreement, non-disclosure agreements, good-faith report, segregation of duties</cp:keywords>
  <dc:description>The top-level policy the rest of the set hangs off: who owns security, how risk is judged and accepted, and the basics everyone signs up to when they join.</dc:description>
  <cp:lastModifiedBy/>
  <cp:revision>1</cp:revision>
  <dcterms:created xsi:type="dcterms:W3CDTF">2026-07-14T00:00:00Z</dcterms:created>
  <dcterms:modified xsi:type="dcterms:W3CDTF">2026-09-09T00:00:00Z</dcterms:modified>
  <cp:category>Template</cp:category>
</cp:coreProperties>
</file>