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 xml:space="preserve">Logging and Monitoring Policy</w:t>
      </w:r>
    </w:p>
    <w:p>
      <w:pPr>
        <w:pStyle w:val="Heading1"/>
        <w:spacing w:before="0" w:after="80"/>
      </w:pPr>
      <w:r>
        <w:rPr>
          <w:color w:val="auto"/>
          <w:sz w:val="20"/>
          <w:szCs w:val="20"/>
        </w:rPr>
        <w:t xml:space="preserve">Document Control</w:t>
      </w:r>
    </w:p>
    <w:tbl>
      <w:tblPr>
        <w:tblStyle w:val="TableGrid"/>
        <w:tblW w:type="auto" w:w="0"/>
        <w:tblLook w:firstColumn="1" w:firstRow="1" w:lastColumn="0" w:lastRow="0" w:noHBand="0" w:noVBand="1" w:val="04A0"/>
      </w:tblPr>
      <w:tblGrid>
        <w:gridCol w:w="3600"/>
        <w:gridCol w:w="7200"/>
      </w:tblGrid>
      <w:tr>
        <w:tc>
          <w:tcPr>
            <w:tcW w:type="dxa" w:w="3600"/>
          </w:tcPr>
          <w:p>
            <w:r>
              <w:rPr>
                <w:b/>
              </w:rPr>
              <w:t xml:space="preserve">Document title</w:t>
            </w:r>
          </w:p>
        </w:tc>
        <w:tc>
          <w:tcPr>
            <w:tcW w:type="dxa" w:w="7200"/>
          </w:tcPr>
          <w:p>
            <w:r>
              <w:t xml:space="preserve">Logging and Monitoring Policy</w:t>
            </w:r>
          </w:p>
        </w:tc>
      </w:tr>
      <w:tr>
        <w:tc>
          <w:tcPr>
            <w:tcW w:type="dxa" w:w="3600"/>
          </w:tcPr>
          <w:p>
            <w:r>
              <w:rPr>
                <w:b/>
              </w:rPr>
              <w:t xml:space="preserve">Version</w:t>
            </w:r>
          </w:p>
        </w:tc>
        <w:tc>
          <w:tcPr>
            <w:tcW w:type="dxa" w:w="7200"/>
          </w:tcPr>
          <w:p>
            <w:r>
              <w:t xml:space="preserve">1.0</w:t>
            </w:r>
          </w:p>
        </w:tc>
      </w:tr>
      <w:tr>
        <w:tc>
          <w:tcPr>
            <w:tcW w:type="dxa" w:w="3600"/>
          </w:tcPr>
          <w:p>
            <w:r>
              <w:rPr>
                <w:b/>
              </w:rPr>
              <w:t xml:space="preserve">Document owner</w:t>
            </w:r>
          </w:p>
        </w:tc>
        <w:tc>
          <w:tcPr>
            <w:tcW w:type="dxa" w:w="7200"/>
          </w:tcPr>
          <w:p>
            <w:r>
              <w:t xml:space="preserve">Information Security Lead</w:t>
            </w:r>
          </w:p>
        </w:tc>
      </w:tr>
      <w:tr>
        <w:tc>
          <w:tcPr>
            <w:tcW w:type="dxa" w:w="3600"/>
          </w:tcPr>
          <w:p>
            <w:r>
              <w:rPr>
                <w:b/>
              </w:rPr>
              <w:t xml:space="preserve">Approved by</w:t>
            </w:r>
          </w:p>
        </w:tc>
        <w:tc>
          <w:tcPr>
            <w:tcW w:type="dxa" w:w="7200"/>
          </w:tcPr>
          <w:p>
            <w:r>
              <w:rPr>
                <w:highlight w:val="yellow"/>
              </w:rPr>
              <w:t xml:space="preserve">[Name and title, e.g., Chief Executive Officer]</w:t>
            </w:r>
          </w:p>
        </w:tc>
      </w:tr>
      <w:tr>
        <w:tc>
          <w:tcPr>
            <w:tcW w:type="dxa" w:w="3600"/>
          </w:tcPr>
          <w:p>
            <w:r>
              <w:rPr>
                <w:b/>
              </w:rPr>
              <w:t xml:space="preserve">Effective date</w:t>
            </w:r>
          </w:p>
        </w:tc>
        <w:tc>
          <w:tcPr>
            <w:tcW w:type="dxa" w:w="7200"/>
          </w:tcPr>
          <w:p>
            <w:r>
              <w:rPr>
                <w:highlight w:val="yellow"/>
              </w:rPr>
              <w:t xml:space="preserve">[Date]</w:t>
            </w:r>
          </w:p>
        </w:tc>
      </w:tr>
      <w:tr>
        <w:tc>
          <w:tcPr>
            <w:tcW w:type="dxa" w:w="3600"/>
          </w:tcPr>
          <w:p>
            <w:r>
              <w:rPr>
                <w:b/>
              </w:rPr>
              <w:t xml:space="preserve">Next review date</w:t>
            </w:r>
          </w:p>
        </w:tc>
        <w:tc>
          <w:tcPr>
            <w:tcW w:type="dxa" w:w="7200"/>
          </w:tcPr>
          <w:p>
            <w:r>
              <w:rPr>
                <w:highlight w:val="yellow"/>
              </w:rPr>
              <w:t xml:space="preserve">[Date, no later than one year after the effective date]</w:t>
            </w:r>
          </w:p>
        </w:tc>
      </w:tr>
      <w:tr>
        <w:tc>
          <w:tcPr>
            <w:tcW w:type="dxa" w:w="3600"/>
          </w:tcPr>
          <w:p>
            <w:r>
              <w:rPr>
                <w:b/>
              </w:rPr>
              <w:t xml:space="preserve">Classification</w:t>
            </w:r>
          </w:p>
        </w:tc>
        <w:tc>
          <w:tcPr>
            <w:tcW w:type="dxa" w:w="7200"/>
          </w:tcPr>
          <w:p>
            <w:r>
              <w:rPr>
                <w:highlight w:val="yellow"/>
              </w:rPr>
              <w:t xml:space="preserve">[e.g., Internal (shareable with customers and auditors on request)]</w:t>
            </w:r>
          </w:p>
        </w:tc>
      </w:tr>
    </w:tbl>
    <w:p/>
    <w:p>
      <w:pPr>
        <w:pStyle w:val="Heading1"/>
        <w:spacing w:before="0" w:after="80"/>
      </w:pPr>
      <w:r>
        <w:rPr>
          <w:color w:val="auto"/>
          <w:sz w:val="20"/>
          <w:szCs w:val="20"/>
        </w:rPr>
        <w:t xml:space="preserve">Revision History</w:t>
      </w:r>
    </w:p>
    <w:tbl>
      <w:tblPr>
        <w:tblStyle w:val="TableGrid"/>
        <w:tblW w:type="auto" w:w="0"/>
        <w:tblLook w:firstColumn="1" w:firstRow="1" w:lastColumn="0" w:lastRow="0" w:noHBand="0" w:noVBand="1" w:val="04A0"/>
      </w:tblPr>
      <w:tblGrid>
        <w:gridCol w:w="1800"/>
        <w:gridCol w:w="2400"/>
        <w:gridCol w:w="6600"/>
      </w:tblGrid>
      <w:tr>
        <w:trPr>
          <w:cantSplit/>
          <w:tblHeader/>
        </w:trPr>
        <w:tc>
          <w:tcPr>
            <w:tcW w:type="dxa" w:w="1800"/>
          </w:tcPr>
          <w:p>
            <w:r>
              <w:rPr>
                <w:b/>
              </w:rPr>
              <w:t xml:space="preserve">Version</w:t>
            </w:r>
          </w:p>
        </w:tc>
        <w:tc>
          <w:tcPr>
            <w:tcW w:type="dxa" w:w="2400"/>
          </w:tcPr>
          <w:p>
            <w:r>
              <w:rPr>
                <w:b/>
              </w:rPr>
              <w:t xml:space="preserve">Date</w:t>
            </w:r>
          </w:p>
        </w:tc>
        <w:tc>
          <w:tcPr>
            <w:tcW w:type="dxa" w:w="6600"/>
          </w:tcPr>
          <w:p>
            <w:r>
              <w:rPr>
                <w:b/>
              </w:rPr>
              <w:t xml:space="preserve">Summary of changes</w:t>
            </w:r>
          </w:p>
        </w:tc>
      </w:tr>
      <w:tr>
        <w:tc>
          <w:tcPr>
            <w:tcW w:type="dxa" w:w="1800"/>
          </w:tcPr>
          <w:p>
            <w:r>
              <w:t xml:space="preserve">1.0</w:t>
            </w:r>
          </w:p>
        </w:tc>
        <w:tc>
          <w:tcPr>
            <w:tcW w:type="dxa" w:w="2400"/>
          </w:tcPr>
          <w:p>
            <w:r>
              <w:rPr>
                <w:highlight w:val="yellow"/>
              </w:rPr>
              <w:t xml:space="preserve">[Date]</w:t>
            </w:r>
          </w:p>
        </w:tc>
        <w:tc>
          <w:tcPr>
            <w:tcW w:type="dxa" w:w="6600"/>
          </w:tcPr>
          <w:p>
            <w:r>
              <w:t xml:space="preserve">Initial version.</w:t>
            </w:r>
          </w:p>
        </w:tc>
      </w:tr>
    </w:tbl>
    <w:p/>
    <w:p>
      <w:pPr>
        <w:pStyle w:val="Heading1"/>
      </w:pPr>
      <w:r>
        <w:t xml:space="preserve">1.0 Purpose</w:t>
      </w:r>
    </w:p>
    <w:p>
      <w:r>
        <w:t xml:space="preserve">This policy sets how </w:t>
      </w:r>
      <w:r>
        <w:rPr>
          <w:highlight w:val="yellow"/>
        </w:rPr>
        <w:t xml:space="preserve">[Company Name]</w:t>
      </w:r>
      <w:r>
        <w:t xml:space="preserve"> ("the organization") records the events on its systems, protects those records, and monitors them, so that the organization finds problems early, can investigate an incident, and can show what happened.</w:t>
      </w:r>
    </w:p>
    <w:p>
      <w:r>
        <w:t xml:space="preserve">This policy is a supporting policy of the organization's Information Security Policy, and it expands that policy's logging and monitoring requirement into working rules. At a policy level, it puts into practice the logging, monitoring, and clock synchronization controls of ISO/IEC 27001:2022 Annex A and the corresponding outcomes of the NIST Cybersecurity Framework (CSF) 2.0 (see Section 9.0).</w:t>
      </w:r>
    </w:p>
    <w:p>
      <w:pPr>
        <w:pStyle w:val="Heading1"/>
      </w:pPr>
      <w:r>
        <w:t xml:space="preserve">2.0 Scope</w:t>
      </w:r>
    </w:p>
    <w:p>
      <w:r>
        <w:t xml:space="preserve">This policy applies to every system in the asset inventory the Information Security Policy requires: servers, workstations, mobile devices under the Remote Work &amp; Mobile Device Policy, network equipment, the identity provider (IdP: the sign-in system), cloud and SaaS services (software used over the internet), security tools, the organization's own applications, the backup system, and, where present, the physical access, alarm, and camera systems. It governs how the organization records logs, protects them, and monitors them. Incidents that monitoring finds are handled under the Incident Response Policy; how long logs are kept follows Section 3.5.</w:t>
      </w:r>
    </w:p>
    <w:p>
      <w:pPr>
        <w:pStyle w:val="Heading1"/>
      </w:pPr>
      <w:r>
        <w:t xml:space="preserve">3.0 Policy Statements</w:t>
      </w:r>
    </w:p>
    <w:p>
      <w:r>
        <w:t xml:space="preserve">Throughout this policy, a statement of what the organization or its people do ("is encrypted", "are recorded") is a requirement. So are "must", "shall", and direct instructions such as "use only" or "never". The words "may" and "is acceptable" mark a permission. Where a requirement needs a planned deviation, Section 6.0 describes how to request an exception. Text in square brackets marks a decision to make when adopting this policy: a placeholder to fill in, a starting value to set, or a passage to review and then keep, adapt, or delete. Remove the brackets and the yellow highlighting after each decision. Some brackets hold a note to you rather than text to keep; delete the note once you have acted on it.</w:t>
      </w:r>
    </w:p>
    <w:p>
      <w:pPr>
        <w:pStyle w:val="Heading2"/>
      </w:pPr>
      <w:r>
        <w:t xml:space="preserve">3.1 What Is Logged</w:t>
      </w:r>
    </w:p>
    <w:p>
      <w:pPr>
        <w:pStyle w:val="ListBullet"/>
      </w:pPr>
      <w:r>
        <w:t xml:space="preserve">Every system that can record security events has that recording turned on. Each one records at least the following, wherever the platform supports it: sign-ins and sign-in failures, privileged actions (administrator work and permission changes), access to Confidential information under the Data Handling Policy, changes to security settings, access to stored keys and secrets, and the events the organization's security tools raise. Where a platform cannot record one of these, the system owner records the gap as a known limitation in the coverage check (Section 3.6).</w:t>
      </w:r>
    </w:p>
    <w:p>
      <w:pPr>
        <w:pStyle w:val="ListBullet"/>
      </w:pPr>
      <w:r>
        <w:t xml:space="preserve">A system is recording and sending its logs, as Sections 3.1 and 3.2 require, before it goes into use. The system owner confirms that and records any limitation in the coverage check (Section 3.6).</w:t>
      </w:r>
    </w:p>
    <w:p>
      <w:pPr>
        <w:pStyle w:val="ListBullet"/>
      </w:pPr>
      <w:r>
        <w:t xml:space="preserve">Servers and workstations record the commands run in administrative shells and remote administrative sessions, where the platform supports it. Where it cannot, the system owner records the limitation in the coverage check (Section 3.6).</w:t>
      </w:r>
    </w:p>
    <w:p>
      <w:pPr>
        <w:pStyle w:val="ListBullet"/>
      </w:pPr>
      <w:r>
        <w:t xml:space="preserve">Each log entry carries enough to reconstruct the event: what happened, whether it succeeded or failed, the system it happened on, the account involved, what was acted on, the source and destination addresses where the platform records them, and the date and time. Where a system cannot meet this, the system owner records the limitation in the coverage check (Section 3.6).</w:t>
      </w:r>
    </w:p>
    <w:p>
      <w:pPr>
        <w:pStyle w:val="ListBullet"/>
      </w:pPr>
      <w:r>
        <w:t xml:space="preserve">Log entries never record passwords, keys, tokens, session identifiers, or full payment card numbers. Where a system records one anyway, the system owner reports it under Section 7.0 and changes any credential that was recorded. The Information Security Lead decides whether the entries are removed, masked, or kept with access narrowed, checks first that no legal hold under the Data Handling Policy covers them, and records the decision and what was changed.</w:t>
      </w:r>
    </w:p>
    <w:p>
      <w:pPr>
        <w:pStyle w:val="ListBullet"/>
      </w:pPr>
      <w:r>
        <w:t xml:space="preserve">The organization keeps audit logging turned on in every cloud and SaaS service that offers it, on the plan the organization pays for. Where a service's audit log is off by default, turning it on is part of adopting the service. Where a service keeps its audit log for less than the Section 3.5 period, the organization exports the entries to the central store before they expire; where the service offers no export, the system owner records the limitation in the coverage check (Section 3.6).</w:t>
      </w:r>
    </w:p>
    <w:p>
      <w:pPr>
        <w:pStyle w:val="ListBullet"/>
      </w:pPr>
      <w:r>
        <w:t xml:space="preserve">Where the organization runs a filtering service for DNS (the internet's name lookup service) or for web requests, that service records the name lookups and web requests it handles, and which ones it blocked. Where the organization runs neither, security operations records the gap in the coverage check (Section 3.6).</w:t>
      </w:r>
    </w:p>
    <w:p>
      <w:pPr>
        <w:pStyle w:val="ListBullet"/>
      </w:pPr>
      <w:r>
        <w:t xml:space="preserve">Monitoring stays within the notice requirements and legal limits the Acceptable Use Policy sets: it covers the organization's systems and its own accounts on the services it provides or approves, for the purposes that policy's monitoring notice states, and does not collect more than those purposes need. </w:t>
      </w:r>
      <w:r>
        <w:rPr>
          <w:highlight w:val="yellow"/>
        </w:rPr>
        <w:t xml:space="preserve">[Workplace monitoring rules differ by country and, in the United States, by state. Before monitoring begins, have counsel confirm what notice, consultation, or consent applies where the organization's people work.]</w:t>
      </w:r>
    </w:p>
    <w:p>
      <w:pPr>
        <w:pStyle w:val="Heading2"/>
      </w:pPr>
      <w:r>
        <w:t xml:space="preserve">3.2 Where Logs Live</w:t>
      </w:r>
    </w:p>
    <w:p>
      <w:pPr>
        <w:pStyle w:val="ListBullet"/>
      </w:pPr>
      <w:r>
        <w:t xml:space="preserve">Where practical, the organization collects logs into one central store the Information Security Lead designates, so they survive the system that produced them and can be searched together. That may be a log platform such as a security information and event management system (SIEM), or a security tool's console that takes in the other sources as well. Whatever the organization uses, the administrators of a system cannot change or delete that system's logs once the central store has them.</w:t>
      </w:r>
      <w:r>
        <w:t xml:space="preserve"> Logs reach the store </w:t>
      </w:r>
      <w:r>
        <w:rPr>
          <w:highlight w:val="yellow"/>
        </w:rPr>
        <w:t xml:space="preserve">[within 15 minutes]</w:t>
      </w:r>
      <w:r>
        <w:t xml:space="preserve"> of the event, so the window in which a system's own administrator can still erase them stays short. Where a system can only send on a schedule, the system owner records that interval as a limitation in the coverage check (Section 3.6).</w:t>
      </w:r>
    </w:p>
    <w:p>
      <w:pPr>
        <w:pStyle w:val="ListBullet"/>
      </w:pPr>
      <w:r>
        <w:t xml:space="preserve">A system whose logs the organization does not collect centrally sends them to another store its own administrator cannot reach, so that administrator cannot erase the record of what they did. Where a system can reach neither store, it keeps its logs locally for the Section 3.5 period, and the system owner records the limitation in the coverage check (Section 3.6).</w:t>
      </w:r>
    </w:p>
    <w:p>
      <w:pPr>
        <w:pStyle w:val="ListBullet"/>
      </w:pPr>
      <w:r>
        <w:t xml:space="preserve">The central store's own records, meaning sign-ins to it, changes to what it collects, and any deletion, are held where its administrator cannot alter them. Where the platform offers no such place, someone other than that administrator reads those records at each coverage check.</w:t>
      </w:r>
    </w:p>
    <w:p>
      <w:pPr>
        <w:pStyle w:val="ListBullet"/>
      </w:pPr>
      <w:r>
        <w:t xml:space="preserve">The central store and every system that keeps logs locally have enough space to hold them for the Section 3.5 period. Security operations watches how much space is left and adds more before logging stops or old entries roll off early.</w:t>
      </w:r>
    </w:p>
    <w:p>
      <w:pPr>
        <w:pStyle w:val="Heading2"/>
      </w:pPr>
      <w:r>
        <w:t xml:space="preserve">3.3 Protecting Logs</w:t>
      </w:r>
    </w:p>
    <w:p>
      <w:pPr>
        <w:pStyle w:val="ListBullet"/>
      </w:pPr>
      <w:r>
        <w:t xml:space="preserve">Logs are protected from tampering and from unauthorized reading: access is limited under the Access Control Policy to the people whose work requires it, changes and deletions are restricted, and access to the logs is itself logged where the platform supports it. Changes to what a system logs, and any clearing of a log, are themselves recorded and alerted on where the platform supports it. Where a platform cannot do one or both of these, the system owner records the limitation in the coverage check (Section 3.6). Logging is never turned off on a system this policy covers.</w:t>
      </w:r>
    </w:p>
    <w:p>
      <w:pPr>
        <w:pStyle w:val="ListBullet"/>
      </w:pPr>
      <w:r>
        <w:t xml:space="preserve">A log store that records account names, device identifiers, or network addresses tied to individuals holds personal information, which the Data Handling Policy classifies at least Confidential, and it is protected at that level. Entries holding other Confidential information are handled at that level too. Any log store that holds neither is classified at least Internal under that policy.</w:t>
      </w:r>
    </w:p>
    <w:p>
      <w:pPr>
        <w:pStyle w:val="Heading2"/>
      </w:pPr>
      <w:r>
        <w:t xml:space="preserve">3.4 Clocks</w:t>
      </w:r>
    </w:p>
    <w:p>
      <w:pPr>
        <w:pStyle w:val="ListBullet"/>
      </w:pPr>
      <w:r>
        <w:t xml:space="preserve">System clocks are synchronized to approved time sources, at least two where the platform supports it, so logs from different systems line up, as the Incident Response Policy requires for investigations. Where a system's clock cannot be synchronized, or can reach only one time source, the system owner records the limitation in the coverage check (Section 3.6).</w:t>
      </w:r>
    </w:p>
    <w:p>
      <w:pPr>
        <w:pStyle w:val="ListBullet"/>
      </w:pPr>
      <w:r>
        <w:t xml:space="preserve">Systems record each entry in Coordinated Universal Time (UTC), or record the time zone alongside the time, so entries from different places can be compared.</w:t>
      </w:r>
    </w:p>
    <w:p>
      <w:pPr>
        <w:pStyle w:val="Heading2"/>
      </w:pPr>
      <w:r>
        <w:t xml:space="preserve">3.5 Retention</w:t>
      </w:r>
    </w:p>
    <w:p>
      <w:pPr>
        <w:pStyle w:val="ListBullet"/>
      </w:pPr>
      <w:r>
        <w:t xml:space="preserve">The organization keeps security logs </w:t>
      </w:r>
      <w:r>
        <w:rPr>
          <w:highlight w:val="yellow"/>
        </w:rPr>
        <w:t xml:space="preserve">[at least twelve months]</w:t>
      </w:r>
      <w:r>
        <w:t xml:space="preserve"> (keep this value matched to the Incident Response Policy and the Data Handling Policy's retention schedule; CIS Safeguard 8.10 sets 90 days as the minimum, so do not set a shorter period), and longer where that schedule sets a longer period for particular records. Where a log holds access records and the Access Control Policy sets a longer minimum than this section, that longer minimum applies to it as well.</w:t>
      </w:r>
    </w:p>
    <w:p>
      <w:pPr>
        <w:pStyle w:val="ListBullet"/>
      </w:pPr>
      <w:r>
        <w:t xml:space="preserve">A legal hold under the Data Handling Policy overrides the retention period, and logs are disposed of under that policy's deletion rules.</w:t>
      </w:r>
    </w:p>
    <w:p>
      <w:pPr>
        <w:pStyle w:val="Heading2"/>
      </w:pPr>
      <w:r>
        <w:t xml:space="preserve">3.6 Monitoring, Alerts, and Coverage</w:t>
      </w:r>
    </w:p>
    <w:p>
      <w:pPr>
        <w:pStyle w:val="ListBullet"/>
      </w:pPr>
      <w:r>
        <w:t xml:space="preserve">Security operations, with IT, reviews the collected logs at least </w:t>
      </w:r>
      <w:r>
        <w:rPr>
          <w:highlight w:val="yellow"/>
        </w:rPr>
        <w:t xml:space="preserve">[weekly]</w:t>
      </w:r>
      <w:r>
        <w:t xml:space="preserve"> (CIS Safeguard 8.11 asks for a review weekly or more often, so do not set a longer interval) and monitors the security tools' alerts. It records each review: the date, who did it, what it covered, and anything it followed up. </w:t>
      </w:r>
      <w:r>
        <w:rPr>
          <w:highlight w:val="yellow"/>
        </w:rPr>
        <w:t xml:space="preserve">[Where the organization stores, processes, or sends payment card data, the payment card industry's data security standard (PCI DSS) v4.0.1 requirement 10.4.1 has all security events reviewed at least once a day, along with the logs of the systems that hold or carry that data, of the systems the business cannot go without, and of the systems that perform a security function, such as a firewall, an intrusion detection system, or the sign-in system. Requirement 10.4.1.1 has an automated tool run those reviews. Requirement 10.5.1 has twelve months kept, with the most recent three months available for analysis without a restore. Set this interval and Section 3.5 to meet those.]</w:t>
      </w:r>
    </w:p>
    <w:p>
      <w:pPr>
        <w:pStyle w:val="ListBullet"/>
      </w:pPr>
      <w:r>
        <w:t xml:space="preserve">Alerts go to a mailbox or queue that security operations checks every business day. Alerts that could mean a high or critical incident also reach a named responder at any hour, through the on-call arrangement set alongside the response targets in the Incident Response Policy. </w:t>
      </w:r>
      <w:r>
        <w:rPr>
          <w:highlight w:val="yellow"/>
        </w:rPr>
        <w:t xml:space="preserve">[Where no one is on call outside business hours, set those targets to what the organization's hours can meet, and handle the gap through the exception process (see Section 6.0).]</w:t>
      </w:r>
      <w:r>
        <w:t xml:space="preserve"> Anything that looks like an incident is reported at once and handled under that policy.</w:t>
      </w:r>
    </w:p>
    <w:p>
      <w:pPr>
        <w:pStyle w:val="ListBullet"/>
      </w:pPr>
      <w:r>
        <w:t xml:space="preserve">Alert thresholds and detection rules follow the Incident Response Policy: its detection-rule review covers the rules that monitor these logs, and one review satisfies both policies.</w:t>
      </w:r>
    </w:p>
    <w:p>
      <w:pPr>
        <w:pStyle w:val="ListBullet"/>
      </w:pPr>
      <w:r>
        <w:t xml:space="preserve">Security operations checks coverage at least </w:t>
      </w:r>
      <w:r>
        <w:rPr>
          <w:highlight w:val="yellow"/>
        </w:rPr>
        <w:t xml:space="preserve">[quarterly]</w:t>
      </w:r>
      <w:r>
        <w:t xml:space="preserve">: it compares the log source list it keeps (Section 4.0) against the asset inventory, reviews the recorded limitations, and looks for silent sources (a system that stopped sending). It records the result of each check, and those records are retained under the Data Handling Policy's retention schedule. Where the central store can alert on a source that has stopped sending, security operations turns that alert on, so it sees the gap before the next coverage check.</w:t>
      </w:r>
    </w:p>
    <w:p>
      <w:pPr>
        <w:pStyle w:val="ListBullet"/>
      </w:pPr>
      <w:r>
        <w:t xml:space="preserve">A limitation the coverage check records is a planned deviation rather than a discovered gap, so it goes straight to the exception process in Section 6.0. Security operations raises each limitation the organization intends to close as an exception under that section, so it carries an approval, temporary safeguards, and an end date. A limitation the organization expects to live with goes instead to the risk process in the Information Security Policy's Section 3.2, where it gets an owner, a written acceptance, and the annual review that policy requires.</w:t>
      </w:r>
    </w:p>
    <w:p>
      <w:pPr>
        <w:pStyle w:val="Heading1"/>
      </w:pPr>
      <w:r>
        <w:t xml:space="preserve">4.0 Roles and Responsibilities</w:t>
      </w:r>
    </w:p>
    <w:p>
      <w:pPr>
        <w:pStyle w:val="ListBullet"/>
      </w:pPr>
      <w:r>
        <w:t xml:space="preserve">The Information Security Lead owns this policy, designates the central log store and the monitoring tools, approves the time sources Section 3.4 requires, handles exceptions under Section 6.0, and reports on monitoring as part of the program reporting that the Information Security Policy requires.</w:t>
      </w:r>
    </w:p>
    <w:p>
      <w:pPr>
        <w:pStyle w:val="ListBullet"/>
      </w:pPr>
      <w:r>
        <w:t xml:space="preserve">Security operations, with IT, collects and monitors the logs, performs the coverage check, and keeps the list of log sources current </w:t>
      </w:r>
      <w:r>
        <w:rPr>
          <w:highlight w:val="yellow"/>
        </w:rPr>
        <w:t xml:space="preserve">[name the place where the list is kept, for example the tab in the asset inventory or the intranet page]</w:t>
      </w:r>
      <w:r>
        <w:t xml:space="preserve">. That function may sit with an internal team or a qualified service provider; in a small organization the Information Security Lead performs it. Where the Information Security Lead performs it, someone else reviews that person's own privileged actions in the logs, or an independent party reviews them at the internal audit or assessment the Information Security Policy requires.</w:t>
      </w:r>
    </w:p>
    <w:p>
      <w:pPr>
        <w:pStyle w:val="ListBullet"/>
      </w:pPr>
      <w:r>
        <w:t xml:space="preserve">System owners, as named in the asset inventory, make sure their systems record events per Section 3.1 and forward them per Section 3.2. Where a system cannot meet a requirement of Sections 3.1 to 3.4, its owner records the limitation in the coverage check.</w:t>
      </w:r>
    </w:p>
    <w:p>
      <w:pPr>
        <w:pStyle w:val="Heading1"/>
      </w:pPr>
      <w:r>
        <w:t xml:space="preserve">5.0 Policy Review and Updates</w:t>
      </w:r>
    </w:p>
    <w:p>
      <w:r>
        <w:t xml:space="preserve">This policy shall be reviewed at least annually, and sooner when the business, technology, regulations, or the threat environment change significantly. The Information Security Lead starts the review, and Executive Management (the organization's senior leadership, as the Information Security Policy defines it) approves changes before they take effect, following the review process in the Information Security Policy.</w:t>
      </w:r>
    </w:p>
    <w:p>
      <w:pPr>
        <w:pStyle w:val="Heading1"/>
      </w:pPr>
      <w:r>
        <w:t xml:space="preserve">6.0 Exceptions</w:t>
      </w:r>
    </w:p>
    <w:p>
      <w:r>
        <w:t xml:space="preserve">Any planned deviation from this policy requires a documented exception, requested and approved through the exception process in the Information Security Policy. Submit the request in writing to the Information Security Lead. Describe the business reason, what the exception covers, how long it is needed, and any temporary safeguards that reduce the risk. Exceptions expire and are reviewed under that process.</w:t>
      </w:r>
    </w:p>
    <w:p>
      <w:r>
        <w:t xml:space="preserve">An exception documents a temporary gap that stays subject to expiry and review. A gap that is discovered rather than planned is reported and handled first (see Section 7.0); if it must stay open afterward, an exception is requested promptly. A deviation someone chose to make without approval, or a discovered gap kept outside this process, is a violation (see Section 8.0).</w:t>
      </w:r>
    </w:p>
    <w:p>
      <w:pPr>
        <w:pStyle w:val="Heading1"/>
      </w:pPr>
      <w:r>
        <w:t xml:space="preserve">7.0 Reporting Security Incidents and Concerns</w:t>
      </w:r>
    </w:p>
    <w:p>
      <w:r>
        <w:t xml:space="preserve">Report suspected security incidents, signs of tampering with logs, monitoring that has silently stopped, and other security concerns promptly. Use the incident reporting contacts kept in the Information Security Policy (its Appendix 1). A report to any manager counts; the manager passes it to those contacts. Failing to report a security incident you know about or reasonably suspect is itself a policy violation (see Section 8.0).</w:t>
      </w:r>
    </w:p>
    <w:p>
      <w:r>
        <w:t xml:space="preserve">The organization does not punish anyone for making a good-faith report. </w:t>
      </w:r>
      <w:r>
        <w:rPr>
          <w:highlight w:val="yellow"/>
        </w:rPr>
        <w:t xml:space="preserve">[It treats an honest mistake reported promptly more leniently than one concealed, and a late report more leniently than no report at all.]</w:t>
      </w:r>
      <w:r>
        <w:t xml:space="preserve"> Any discipline for the underlying conduct follows Section 8.0.</w:t>
      </w:r>
    </w:p>
    <w:p>
      <w:pPr>
        <w:pStyle w:val="Heading1"/>
      </w:pPr>
      <w:r>
        <w:t xml:space="preserve">8.0 Violations and Disciplinary Action</w:t>
      </w:r>
    </w:p>
    <w:p>
      <w:r>
        <w:t xml:space="preserve">Anyone who violates this policy can face disciplinary action, up to and including termination of employment or contract, and legal action where applicable. The response to a violation will depend on its severity, its impact on the organization's security, and any legal or regulatory requirements.</w:t>
      </w:r>
    </w:p>
    <w:p>
      <w:pPr>
        <w:pStyle w:val="Heading1"/>
      </w:pPr>
      <w:r>
        <w:t xml:space="preserve">9.0 Related Policies and Standards</w:t>
      </w:r>
    </w:p>
    <w:p>
      <w:r>
        <w:t xml:space="preserve">This policy is a supporting policy of the Information Security Policy, the top-level document of the organization's information security policy set. This policy may set stricter rules; a stricter rule is not a conflict. If this policy contradicts the Information Security Policy, the Information Security Policy prevails.</w:t>
      </w:r>
    </w:p>
    <w:p>
      <w:r>
        <w:t xml:space="preserve">It works alongside these policies:</w:t>
      </w:r>
    </w:p>
    <w:p>
      <w:pPr>
        <w:pStyle w:val="ListBullet"/>
      </w:pPr>
      <w:r>
        <w:t xml:space="preserve">The Information Security Policy: the program this policy supports; its Section 3.6 requires the logging and monitoring this policy details.</w:t>
      </w:r>
    </w:p>
    <w:p>
      <w:pPr>
        <w:pStyle w:val="ListBullet"/>
      </w:pPr>
      <w:r>
        <w:t xml:space="preserve">The Incident Response Policy: what happens when monitoring finds a problem; it sets the security-log minimum, the clock requirement for investigations, and the detection-rule review this policy relies on.</w:t>
      </w:r>
    </w:p>
    <w:p>
      <w:pPr>
        <w:pStyle w:val="ListBullet"/>
      </w:pPr>
      <w:r>
        <w:t xml:space="preserve">The Data Handling Policy: the classification of what logs contain, the retention schedule, and legal holds.</w:t>
      </w:r>
    </w:p>
    <w:p>
      <w:pPr>
        <w:pStyle w:val="ListBullet"/>
      </w:pPr>
      <w:r>
        <w:t xml:space="preserve">The Access Control Policy: who may read or administer logs, and the sign-in and access events that feed them.</w:t>
      </w:r>
    </w:p>
    <w:p>
      <w:pPr>
        <w:pStyle w:val="ListBullet"/>
      </w:pPr>
      <w:r>
        <w:t xml:space="preserve">The Secure Development Policy: it builds the organization's own applications to record the events this policy asks of them.</w:t>
      </w:r>
    </w:p>
    <w:p>
      <w:pPr>
        <w:pStyle w:val="ListBullet"/>
      </w:pPr>
      <w:r>
        <w:t xml:space="preserve">The Change Management Policy: a change to what a system logs, to the central store, or to the alerting runs through its change process, and the privileged actions and security-setting changes this policy logs are where an unauthorized change shows up.</w:t>
      </w:r>
    </w:p>
    <w:p>
      <w:pPr>
        <w:pStyle w:val="ListBullet"/>
      </w:pPr>
      <w:r>
        <w:t xml:space="preserve">The Encryption Policy: it sends the secret store's key-access records here to be kept and reviewed.</w:t>
      </w:r>
    </w:p>
    <w:p>
      <w:pPr>
        <w:pStyle w:val="ListBullet"/>
      </w:pPr>
      <w:r>
        <w:t xml:space="preserve">The Acceptable Use Policy: the monitoring notice and the legal limits monitoring operates within, and its Section 3.2 prohibition on altering or deleting the records this policy keeps.</w:t>
      </w:r>
    </w:p>
    <w:p>
      <w:pPr>
        <w:pStyle w:val="ListBullet"/>
      </w:pPr>
      <w:r>
        <w:t xml:space="preserve">The AI Acceptable Use Policy: the sign-in and activity records that show which approved AI tools are in use.</w:t>
      </w:r>
    </w:p>
    <w:p>
      <w:pPr>
        <w:pStyle w:val="ListBullet"/>
      </w:pPr>
      <w:r>
        <w:t xml:space="preserve">The Remote Work &amp; Mobile Device Policy: the device management events that feed this policy's log sources.</w:t>
      </w:r>
    </w:p>
    <w:p>
      <w:pPr>
        <w:pStyle w:val="ListBullet"/>
      </w:pPr>
      <w:r>
        <w:t xml:space="preserve">The Vulnerability Management Policy: its scanning and patching systems are log sources here, and monitoring is how an exploited weakness comes to light. An exploited weakness is an incident, handled under the Incident Response Policy; a weakness found by a scan is fixed under the Vulnerability Management Policy.</w:t>
      </w:r>
    </w:p>
    <w:p>
      <w:pPr>
        <w:pStyle w:val="ListBullet"/>
      </w:pPr>
      <w:r>
        <w:t xml:space="preserve">The Vendor Risk Management Policy: it assesses a provider that runs the monitoring or holds the logs, and sets the security terms its contract carries.</w:t>
      </w:r>
    </w:p>
    <w:p>
      <w:pPr>
        <w:pStyle w:val="ListBullet"/>
      </w:pPr>
      <w:r>
        <w:t xml:space="preserve">The Physical and Environmental Security Policy: the entry, alarm, and camera systems Appendix 1 lists as a log source; its facility owner reviews the entry records, the alarm's arming and activation, and the visitor sign-in record.</w:t>
      </w:r>
    </w:p>
    <w:p>
      <w:pPr>
        <w:pStyle w:val="ListBullet"/>
      </w:pPr>
      <w:r>
        <w:t xml:space="preserve">The Email Security Policy: the mail-security events that feed this policy's log sources.</w:t>
      </w:r>
    </w:p>
    <w:p>
      <w:pPr>
        <w:pStyle w:val="ListBullet"/>
      </w:pPr>
      <w:r>
        <w:t xml:space="preserve">The Business Continuity &amp; Disaster Recovery Plan: its backup jobs are one of the log sources this policy monitors; a failing backup is handled under that plan.</w:t>
      </w:r>
    </w:p>
    <w:p>
      <w:r>
        <w:t xml:space="preserve">Where any of these does not exist yet, treat it as a roadmap item; the rules in this policy apply on their own regardless.</w:t>
      </w:r>
    </w:p>
    <w:p>
      <w:r>
        <w:t xml:space="preserve">At a policy level, these rules put into practice the logging and monitoring controls of ISO/IEC 27001:2022 Annex A: control 8.15 (logging), control 8.16 (monitoring activities), and control 8.17 (clock synchronization), along with control 8.6 (capacity management) for the log storage Section 3.2 requires. They support the Detect function of the NIST Cybersecurity Framework 2.0 through its Continuous Monitoring (DE.CM) and Adverse Event Analysis (DE.AE) categories, and its Protect function through the outcome that log records are generated and made available for continuous monitoring (PR.PS-04). They put into practice Control 8 (Audit Log Management) of the CIS Critical Security Controls Version 8.1. Refer to cisecurity.org/controls for the current version of the CIS Controls.</w:t>
      </w:r>
    </w:p>
    <w:p>
      <w:pPr>
        <w:pStyle w:val="Heading1"/>
      </w:pPr>
      <w:r>
        <w:t xml:space="preserve">Appendix 1: Starter Log Source Checklist</w:t>
      </w:r>
    </w:p>
    <w:p>
      <w:r>
        <w:t xml:space="preserve">Adopt this as the starting list for the Section 3.6 coverage check. Add sources as the inventory grows, and delete lines that do not apply. Record who owns each source, where its logs go, whether its recording is on, the date someone last confirmed it is still sending, and any limitation with the exception or accepted risk that covers it.</w:t>
      </w:r>
    </w:p>
    <w:tbl>
      <w:tblPr>
        <w:tblStyle w:val="TableGrid"/>
        <w:tblW w:type="auto" w:w="0"/>
        <w:tblLook w:firstColumn="1" w:firstRow="1" w:lastColumn="0" w:lastRow="0" w:noHBand="0" w:noVBand="1" w:val="04A0"/>
      </w:tblPr>
      <w:tblGrid>
        <w:gridCol w:w="1900"/>
        <w:gridCol w:w="2700"/>
        <w:gridCol w:w="1300"/>
        <w:gridCol w:w="1500"/>
        <w:gridCol w:w="700"/>
        <w:gridCol w:w="1300"/>
        <w:gridCol w:w="1400"/>
      </w:tblGrid>
      <w:tr>
        <w:trPr>
          <w:cantSplit/>
          <w:tblHeader/>
        </w:trPr>
        <w:tc>
          <w:tcPr>
            <w:tcW w:type="dxa" w:w="1900"/>
          </w:tcPr>
          <w:p>
            <w:r>
              <w:rPr>
                <w:b/>
              </w:rPr>
              <w:t xml:space="preserve">Source</w:t>
            </w:r>
          </w:p>
        </w:tc>
        <w:tc>
          <w:tcPr>
            <w:tcW w:type="dxa" w:w="2700"/>
          </w:tcPr>
          <w:p>
            <w:r>
              <w:rPr>
                <w:b/>
              </w:rPr>
              <w:t xml:space="preserve">What it records</w:t>
            </w:r>
          </w:p>
        </w:tc>
        <w:tc>
          <w:tcPr>
            <w:tcW w:type="dxa" w:w="1300"/>
          </w:tcPr>
          <w:p>
            <w:r>
              <w:rPr>
                <w:b/>
              </w:rPr>
              <w:t xml:space="preserve">Owner</w:t>
            </w:r>
          </w:p>
        </w:tc>
        <w:tc>
          <w:tcPr>
            <w:tcW w:type="dxa" w:w="1500"/>
          </w:tcPr>
          <w:p>
            <w:r>
              <w:rPr>
                <w:b/>
              </w:rPr>
              <w:t xml:space="preserve">Where it goes</w:t>
            </w:r>
          </w:p>
        </w:tc>
        <w:tc>
          <w:tcPr>
            <w:tcW w:type="dxa" w:w="700"/>
          </w:tcPr>
          <w:p>
            <w:r>
              <w:rPr>
                <w:b/>
              </w:rPr>
              <w:t xml:space="preserve">On?</w:t>
            </w:r>
          </w:p>
        </w:tc>
        <w:tc>
          <w:tcPr>
            <w:tcW w:type="dxa" w:w="1300"/>
          </w:tcPr>
          <w:p>
            <w:r>
              <w:rPr>
                <w:b/>
              </w:rPr>
              <w:t xml:space="preserve">Last checked</w:t>
            </w:r>
          </w:p>
        </w:tc>
        <w:tc>
          <w:tcPr>
            <w:tcW w:type="dxa" w:w="1400"/>
          </w:tcPr>
          <w:p>
            <w:r>
              <w:rPr>
                <w:b/>
              </w:rPr>
              <w:t xml:space="preserve">Limitation and what covers it</w:t>
            </w:r>
          </w:p>
        </w:tc>
      </w:tr>
      <w:tr>
        <w:trPr>
          <w:cantSplit/>
          <w:trHeight w:hRule="atLeast" w:val="576"/>
        </w:trPr>
        <w:tc>
          <w:tcPr>
            <w:tcW w:type="dxa" w:w="1900"/>
          </w:tcPr>
          <w:p>
            <w:r>
              <w:t xml:space="preserve">Identity provider</w:t>
            </w:r>
          </w:p>
        </w:tc>
        <w:tc>
          <w:tcPr>
            <w:tcW w:type="dxa" w:w="2700"/>
          </w:tcPr>
          <w:p>
            <w:r>
              <w:t xml:space="preserve">Sign-ins and failures, multi-factor authentication (MFA) events, administrator changes</w:t>
            </w:r>
          </w:p>
        </w:tc>
        <w:tc>
          <w:tcPr>
            <w:tcW w:type="dxa" w:w="1300"/>
          </w:tcPr>
          <w:p/>
        </w:tc>
        <w:tc>
          <w:tcPr>
            <w:tcW w:type="dxa" w:w="1500"/>
          </w:tcPr>
          <w:p/>
        </w:tc>
        <w:tc>
          <w:tcPr>
            <w:tcW w:type="dxa" w:w="700"/>
          </w:tcPr>
          <w:p/>
        </w:tc>
        <w:tc>
          <w:tcPr>
            <w:tcW w:type="dxa" w:w="1300"/>
          </w:tcPr>
          <w:p/>
        </w:tc>
        <w:tc>
          <w:tcPr>
            <w:tcW w:type="dxa" w:w="1400"/>
          </w:tcPr>
          <w:p/>
        </w:tc>
      </w:tr>
      <w:tr>
        <w:trPr>
          <w:cantSplit/>
          <w:trHeight w:hRule="atLeast" w:val="576"/>
        </w:trPr>
        <w:tc>
          <w:tcPr>
            <w:tcW w:type="dxa" w:w="1900"/>
          </w:tcPr>
          <w:p>
            <w:r>
              <w:t xml:space="preserve">Cloud and SaaS services</w:t>
            </w:r>
          </w:p>
        </w:tc>
        <w:tc>
          <w:tcPr>
            <w:tcW w:type="dxa" w:w="2700"/>
          </w:tcPr>
          <w:p>
            <w:r>
              <w:t xml:space="preserve">Administrator actions, setting changes, and access to Confidential information</w:t>
            </w:r>
          </w:p>
        </w:tc>
        <w:tc>
          <w:tcPr>
            <w:tcW w:type="dxa" w:w="1300"/>
          </w:tcPr>
          <w:p/>
        </w:tc>
        <w:tc>
          <w:tcPr>
            <w:tcW w:type="dxa" w:w="1500"/>
          </w:tcPr>
          <w:p/>
        </w:tc>
        <w:tc>
          <w:tcPr>
            <w:tcW w:type="dxa" w:w="700"/>
          </w:tcPr>
          <w:p/>
        </w:tc>
        <w:tc>
          <w:tcPr>
            <w:tcW w:type="dxa" w:w="1300"/>
          </w:tcPr>
          <w:p/>
        </w:tc>
        <w:tc>
          <w:tcPr>
            <w:tcW w:type="dxa" w:w="1400"/>
          </w:tcPr>
          <w:p/>
        </w:tc>
      </w:tr>
      <w:tr>
        <w:trPr>
          <w:cantSplit/>
          <w:trHeight w:hRule="atLeast" w:val="576"/>
        </w:trPr>
        <w:tc>
          <w:tcPr>
            <w:tcW w:type="dxa" w:w="1900"/>
          </w:tcPr>
          <w:p>
            <w:r>
              <w:t xml:space="preserve">Endpoint security tool (endpoint detection and response, EDR, or antivirus)</w:t>
            </w:r>
          </w:p>
        </w:tc>
        <w:tc>
          <w:tcPr>
            <w:tcW w:type="dxa" w:w="2700"/>
          </w:tcPr>
          <w:p>
            <w:r>
              <w:t xml:space="preserve">Malware detections and device health</w:t>
            </w:r>
          </w:p>
        </w:tc>
        <w:tc>
          <w:tcPr>
            <w:tcW w:type="dxa" w:w="1300"/>
          </w:tcPr>
          <w:p/>
        </w:tc>
        <w:tc>
          <w:tcPr>
            <w:tcW w:type="dxa" w:w="1500"/>
          </w:tcPr>
          <w:p/>
        </w:tc>
        <w:tc>
          <w:tcPr>
            <w:tcW w:type="dxa" w:w="700"/>
          </w:tcPr>
          <w:p/>
        </w:tc>
        <w:tc>
          <w:tcPr>
            <w:tcW w:type="dxa" w:w="1300"/>
          </w:tcPr>
          <w:p/>
        </w:tc>
        <w:tc>
          <w:tcPr>
            <w:tcW w:type="dxa" w:w="1400"/>
          </w:tcPr>
          <w:p/>
        </w:tc>
      </w:tr>
      <w:tr>
        <w:trPr>
          <w:cantSplit/>
          <w:trHeight w:hRule="atLeast" w:val="576"/>
        </w:trPr>
        <w:tc>
          <w:tcPr>
            <w:tcW w:type="dxa" w:w="1900"/>
          </w:tcPr>
          <w:p>
            <w:r>
              <w:t xml:space="preserve">Device management, for workstations and mobile devices</w:t>
            </w:r>
          </w:p>
        </w:tc>
        <w:tc>
          <w:tcPr>
            <w:tcW w:type="dxa" w:w="2700"/>
          </w:tcPr>
          <w:p>
            <w:r>
              <w:t xml:space="preserve">Enrollment, compliance, and remote wipe events (Remote Work &amp; Mobile Device Policy)</w:t>
            </w:r>
          </w:p>
        </w:tc>
        <w:tc>
          <w:tcPr>
            <w:tcW w:type="dxa" w:w="1300"/>
          </w:tcPr>
          <w:p/>
        </w:tc>
        <w:tc>
          <w:tcPr>
            <w:tcW w:type="dxa" w:w="1500"/>
          </w:tcPr>
          <w:p/>
        </w:tc>
        <w:tc>
          <w:tcPr>
            <w:tcW w:type="dxa" w:w="700"/>
          </w:tcPr>
          <w:p/>
        </w:tc>
        <w:tc>
          <w:tcPr>
            <w:tcW w:type="dxa" w:w="1300"/>
          </w:tcPr>
          <w:p/>
        </w:tc>
        <w:tc>
          <w:tcPr>
            <w:tcW w:type="dxa" w:w="1400"/>
          </w:tcPr>
          <w:p/>
        </w:tc>
      </w:tr>
      <w:tr>
        <w:trPr>
          <w:cantSplit/>
          <w:trHeight w:hRule="atLeast" w:val="576"/>
        </w:trPr>
        <w:tc>
          <w:tcPr>
            <w:tcW w:type="dxa" w:w="1900"/>
          </w:tcPr>
          <w:p>
            <w:r>
              <w:t xml:space="preserve">Email security</w:t>
            </w:r>
          </w:p>
        </w:tc>
        <w:tc>
          <w:tcPr>
            <w:tcW w:type="dxa" w:w="2700"/>
          </w:tcPr>
          <w:p>
            <w:r>
              <w:t xml:space="preserve">Filtering verdicts, authentication reports, and administrator changes to mail settings (Email Security Policy)</w:t>
            </w:r>
          </w:p>
        </w:tc>
        <w:tc>
          <w:tcPr>
            <w:tcW w:type="dxa" w:w="1300"/>
          </w:tcPr>
          <w:p/>
        </w:tc>
        <w:tc>
          <w:tcPr>
            <w:tcW w:type="dxa" w:w="1500"/>
          </w:tcPr>
          <w:p/>
        </w:tc>
        <w:tc>
          <w:tcPr>
            <w:tcW w:type="dxa" w:w="700"/>
          </w:tcPr>
          <w:p/>
        </w:tc>
        <w:tc>
          <w:tcPr>
            <w:tcW w:type="dxa" w:w="1300"/>
          </w:tcPr>
          <w:p/>
        </w:tc>
        <w:tc>
          <w:tcPr>
            <w:tcW w:type="dxa" w:w="1400"/>
          </w:tcPr>
          <w:p/>
        </w:tc>
      </w:tr>
      <w:tr>
        <w:trPr>
          <w:cantSplit/>
          <w:trHeight w:hRule="atLeast" w:val="576"/>
        </w:trPr>
        <w:tc>
          <w:tcPr>
            <w:tcW w:type="dxa" w:w="1900"/>
          </w:tcPr>
          <w:p>
            <w:r>
              <w:t xml:space="preserve">Servers and applications</w:t>
            </w:r>
          </w:p>
        </w:tc>
        <w:tc>
          <w:tcPr>
            <w:tcW w:type="dxa" w:w="2700"/>
          </w:tcPr>
          <w:p>
            <w:r>
              <w:t xml:space="preserve">Sign-ins, privileged actions, errors</w:t>
            </w:r>
          </w:p>
        </w:tc>
        <w:tc>
          <w:tcPr>
            <w:tcW w:type="dxa" w:w="1300"/>
          </w:tcPr>
          <w:p/>
        </w:tc>
        <w:tc>
          <w:tcPr>
            <w:tcW w:type="dxa" w:w="1500"/>
          </w:tcPr>
          <w:p/>
        </w:tc>
        <w:tc>
          <w:tcPr>
            <w:tcW w:type="dxa" w:w="700"/>
          </w:tcPr>
          <w:p/>
        </w:tc>
        <w:tc>
          <w:tcPr>
            <w:tcW w:type="dxa" w:w="1300"/>
          </w:tcPr>
          <w:p/>
        </w:tc>
        <w:tc>
          <w:tcPr>
            <w:tcW w:type="dxa" w:w="1400"/>
          </w:tcPr>
          <w:p/>
        </w:tc>
      </w:tr>
      <w:tr>
        <w:trPr>
          <w:cantSplit/>
          <w:trHeight w:hRule="atLeast" w:val="576"/>
        </w:trPr>
        <w:tc>
          <w:tcPr>
            <w:tcW w:type="dxa" w:w="1900"/>
          </w:tcPr>
          <w:p>
            <w:r>
              <w:t xml:space="preserve">Workstations</w:t>
            </w:r>
          </w:p>
        </w:tc>
        <w:tc>
          <w:tcPr>
            <w:tcW w:type="dxa" w:w="2700"/>
          </w:tcPr>
          <w:p>
            <w:r>
              <w:t xml:space="preserve">Sign-ins, privileged actions, and the commands run in administrative shells and remote sessions</w:t>
            </w:r>
          </w:p>
        </w:tc>
        <w:tc>
          <w:tcPr>
            <w:tcW w:type="dxa" w:w="1300"/>
          </w:tcPr>
          <w:p/>
        </w:tc>
        <w:tc>
          <w:tcPr>
            <w:tcW w:type="dxa" w:w="1500"/>
          </w:tcPr>
          <w:p/>
        </w:tc>
        <w:tc>
          <w:tcPr>
            <w:tcW w:type="dxa" w:w="700"/>
          </w:tcPr>
          <w:p/>
        </w:tc>
        <w:tc>
          <w:tcPr>
            <w:tcW w:type="dxa" w:w="1300"/>
          </w:tcPr>
          <w:p/>
        </w:tc>
        <w:tc>
          <w:tcPr>
            <w:tcW w:type="dxa" w:w="1400"/>
          </w:tcPr>
          <w:p/>
        </w:tc>
      </w:tr>
      <w:tr>
        <w:trPr>
          <w:cantSplit/>
          <w:trHeight w:hRule="atLeast" w:val="576"/>
        </w:trPr>
        <w:tc>
          <w:tcPr>
            <w:tcW w:type="dxa" w:w="1900"/>
          </w:tcPr>
          <w:p>
            <w:r>
              <w:t xml:space="preserve">Secret and key store</w:t>
            </w:r>
          </w:p>
        </w:tc>
        <w:tc>
          <w:tcPr>
            <w:tcW w:type="dxa" w:w="2700"/>
          </w:tcPr>
          <w:p>
            <w:r>
              <w:t xml:space="preserve">Each access to a stored key or secret (Encryption Policy)</w:t>
            </w:r>
          </w:p>
        </w:tc>
        <w:tc>
          <w:tcPr>
            <w:tcW w:type="dxa" w:w="1300"/>
          </w:tcPr>
          <w:p/>
        </w:tc>
        <w:tc>
          <w:tcPr>
            <w:tcW w:type="dxa" w:w="1500"/>
          </w:tcPr>
          <w:p/>
        </w:tc>
        <w:tc>
          <w:tcPr>
            <w:tcW w:type="dxa" w:w="700"/>
          </w:tcPr>
          <w:p/>
        </w:tc>
        <w:tc>
          <w:tcPr>
            <w:tcW w:type="dxa" w:w="1300"/>
          </w:tcPr>
          <w:p/>
        </w:tc>
        <w:tc>
          <w:tcPr>
            <w:tcW w:type="dxa" w:w="1400"/>
          </w:tcPr>
          <w:p/>
        </w:tc>
      </w:tr>
      <w:tr>
        <w:trPr>
          <w:cantSplit/>
          <w:trHeight w:hRule="atLeast" w:val="576"/>
        </w:trPr>
        <w:tc>
          <w:tcPr>
            <w:tcW w:type="dxa" w:w="1900"/>
          </w:tcPr>
          <w:p>
            <w:r>
              <w:t xml:space="preserve">Network equipment and firewall, where present</w:t>
            </w:r>
          </w:p>
        </w:tc>
        <w:tc>
          <w:tcPr>
            <w:tcW w:type="dxa" w:w="2700"/>
          </w:tcPr>
          <w:p>
            <w:r>
              <w:t xml:space="preserve">Configuration changes, and blocked traffic where useful</w:t>
            </w:r>
          </w:p>
        </w:tc>
        <w:tc>
          <w:tcPr>
            <w:tcW w:type="dxa" w:w="1300"/>
          </w:tcPr>
          <w:p/>
        </w:tc>
        <w:tc>
          <w:tcPr>
            <w:tcW w:type="dxa" w:w="1500"/>
          </w:tcPr>
          <w:p/>
        </w:tc>
        <w:tc>
          <w:tcPr>
            <w:tcW w:type="dxa" w:w="700"/>
          </w:tcPr>
          <w:p/>
        </w:tc>
        <w:tc>
          <w:tcPr>
            <w:tcW w:type="dxa" w:w="1300"/>
          </w:tcPr>
          <w:p/>
        </w:tc>
        <w:tc>
          <w:tcPr>
            <w:tcW w:type="dxa" w:w="1400"/>
          </w:tcPr>
          <w:p/>
        </w:tc>
      </w:tr>
      <w:tr>
        <w:trPr>
          <w:cantSplit/>
          <w:trHeight w:hRule="atLeast" w:val="576"/>
        </w:trPr>
        <w:tc>
          <w:tcPr>
            <w:tcW w:type="dxa" w:w="1900"/>
          </w:tcPr>
          <w:p>
            <w:r>
              <w:t xml:space="preserve">Remote access, where present</w:t>
            </w:r>
          </w:p>
        </w:tc>
        <w:tc>
          <w:tcPr>
            <w:tcW w:type="dxa" w:w="2700"/>
          </w:tcPr>
          <w:p>
            <w:r>
              <w:t xml:space="preserve">Connections, and the account behind each one</w:t>
            </w:r>
          </w:p>
        </w:tc>
        <w:tc>
          <w:tcPr>
            <w:tcW w:type="dxa" w:w="1300"/>
          </w:tcPr>
          <w:p/>
        </w:tc>
        <w:tc>
          <w:tcPr>
            <w:tcW w:type="dxa" w:w="1500"/>
          </w:tcPr>
          <w:p/>
        </w:tc>
        <w:tc>
          <w:tcPr>
            <w:tcW w:type="dxa" w:w="700"/>
          </w:tcPr>
          <w:p/>
        </w:tc>
        <w:tc>
          <w:tcPr>
            <w:tcW w:type="dxa" w:w="1300"/>
          </w:tcPr>
          <w:p/>
        </w:tc>
        <w:tc>
          <w:tcPr>
            <w:tcW w:type="dxa" w:w="1400"/>
          </w:tcPr>
          <w:p/>
        </w:tc>
      </w:tr>
      <w:tr>
        <w:trPr>
          <w:cantSplit/>
          <w:trHeight w:hRule="atLeast" w:val="576"/>
        </w:trPr>
        <w:tc>
          <w:tcPr>
            <w:tcW w:type="dxa" w:w="1900"/>
          </w:tcPr>
          <w:p>
            <w:r>
              <w:t xml:space="preserve">DNS and web filtering, where present</w:t>
            </w:r>
          </w:p>
        </w:tc>
        <w:tc>
          <w:tcPr>
            <w:tcW w:type="dxa" w:w="2700"/>
          </w:tcPr>
          <w:p>
            <w:r>
              <w:t xml:space="preserve">DNS queries and web requests, and which ones were blocked</w:t>
            </w:r>
          </w:p>
        </w:tc>
        <w:tc>
          <w:tcPr>
            <w:tcW w:type="dxa" w:w="1300"/>
          </w:tcPr>
          <w:p/>
        </w:tc>
        <w:tc>
          <w:tcPr>
            <w:tcW w:type="dxa" w:w="1500"/>
          </w:tcPr>
          <w:p/>
        </w:tc>
        <w:tc>
          <w:tcPr>
            <w:tcW w:type="dxa" w:w="700"/>
          </w:tcPr>
          <w:p/>
        </w:tc>
        <w:tc>
          <w:tcPr>
            <w:tcW w:type="dxa" w:w="1300"/>
          </w:tcPr>
          <w:p/>
        </w:tc>
        <w:tc>
          <w:tcPr>
            <w:tcW w:type="dxa" w:w="1400"/>
          </w:tcPr>
          <w:p/>
        </w:tc>
      </w:tr>
      <w:tr>
        <w:trPr>
          <w:cantSplit/>
          <w:trHeight w:hRule="atLeast" w:val="576"/>
        </w:trPr>
        <w:tc>
          <w:tcPr>
            <w:tcW w:type="dxa" w:w="1900"/>
          </w:tcPr>
          <w:p>
            <w:r>
              <w:t xml:space="preserve">Backup system</w:t>
            </w:r>
          </w:p>
        </w:tc>
        <w:tc>
          <w:tcPr>
            <w:tcW w:type="dxa" w:w="2700"/>
          </w:tcPr>
          <w:p>
            <w:r>
              <w:t xml:space="preserve">Job success and failure (Business Continuity &amp; Disaster Recovery Plan)</w:t>
            </w:r>
          </w:p>
        </w:tc>
        <w:tc>
          <w:tcPr>
            <w:tcW w:type="dxa" w:w="1300"/>
          </w:tcPr>
          <w:p/>
        </w:tc>
        <w:tc>
          <w:tcPr>
            <w:tcW w:type="dxa" w:w="1500"/>
          </w:tcPr>
          <w:p/>
        </w:tc>
        <w:tc>
          <w:tcPr>
            <w:tcW w:type="dxa" w:w="700"/>
          </w:tcPr>
          <w:p/>
        </w:tc>
        <w:tc>
          <w:tcPr>
            <w:tcW w:type="dxa" w:w="1300"/>
          </w:tcPr>
          <w:p/>
        </w:tc>
        <w:tc>
          <w:tcPr>
            <w:tcW w:type="dxa" w:w="1400"/>
          </w:tcPr>
          <w:p/>
        </w:tc>
      </w:tr>
      <w:tr>
        <w:trPr>
          <w:cantSplit/>
          <w:trHeight w:hRule="atLeast" w:val="576"/>
        </w:trPr>
        <w:tc>
          <w:tcPr>
            <w:tcW w:type="dxa" w:w="1900"/>
          </w:tcPr>
          <w:p>
            <w:r>
              <w:t xml:space="preserve">Physical access, alarm, and camera systems, where present</w:t>
            </w:r>
          </w:p>
        </w:tc>
        <w:tc>
          <w:tcPr>
            <w:tcW w:type="dxa" w:w="2700"/>
          </w:tcPr>
          <w:p>
            <w:r>
              <w:t xml:space="preserve">Entries, alarms, and arming (reviewed under the Physical and Environmental Security Policy)</w:t>
            </w:r>
          </w:p>
        </w:tc>
        <w:tc>
          <w:tcPr>
            <w:tcW w:type="dxa" w:w="1300"/>
          </w:tcPr>
          <w:p/>
        </w:tc>
        <w:tc>
          <w:tcPr>
            <w:tcW w:type="dxa" w:w="1500"/>
          </w:tcPr>
          <w:p/>
        </w:tc>
        <w:tc>
          <w:tcPr>
            <w:tcW w:type="dxa" w:w="700"/>
          </w:tcPr>
          <w:p/>
        </w:tc>
        <w:tc>
          <w:tcPr>
            <w:tcW w:type="dxa" w:w="1300"/>
          </w:tcPr>
          <w:p/>
        </w:tc>
        <w:tc>
          <w:tcPr>
            <w:tcW w:type="dxa" w:w="1400"/>
          </w:tcPr>
          <w:p/>
        </w:tc>
      </w:tr>
      <w:tr>
        <w:trPr>
          <w:cantSplit/>
          <w:trHeight w:hRule="atLeast" w:val="576"/>
        </w:trPr>
        <w:tc>
          <w:tcPr>
            <w:tcW w:type="dxa" w:w="1900"/>
          </w:tcPr>
          <w:p>
            <w:r>
              <w:t xml:space="preserve">The central log store itself</w:t>
            </w:r>
          </w:p>
        </w:tc>
        <w:tc>
          <w:tcPr>
            <w:tcW w:type="dxa" w:w="2700"/>
          </w:tcPr>
          <w:p>
            <w:r>
              <w:t xml:space="preserve">Sign-ins, changes to what it collects, and its own delivery failures</w:t>
            </w:r>
          </w:p>
        </w:tc>
        <w:tc>
          <w:tcPr>
            <w:tcW w:type="dxa" w:w="1300"/>
          </w:tcPr>
          <w:p/>
        </w:tc>
        <w:tc>
          <w:tcPr>
            <w:tcW w:type="dxa" w:w="1500"/>
          </w:tcPr>
          <w:p/>
        </w:tc>
        <w:tc>
          <w:tcPr>
            <w:tcW w:type="dxa" w:w="700"/>
          </w:tcPr>
          <w:p/>
        </w:tc>
        <w:tc>
          <w:tcPr>
            <w:tcW w:type="dxa" w:w="1300"/>
          </w:tcPr>
          <w:p/>
        </w:tc>
        <w:tc>
          <w:tcPr>
            <w:tcW w:type="dxa" w:w="1400"/>
          </w:tcPr>
          <w:p/>
        </w:tc>
      </w:tr>
    </w:tbl>
    <w:p>
      <w:pPr>
        <w:spacing w:before="0" w:after="0" w:line="20" w:lineRule="exact"/>
        <w:rPr>
          <w:sz w:val="4"/>
          <w:szCs w:val="4"/>
        </w:rPr>
      </w:pPr>
    </w:p>
    <w:sectPr w:rsidR="00FC693F" w:rsidRPr="0006063C" w:rsidSect="00034616">
      <w:footerReference w:type="default" r:id="rId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val="clear" w:pos="4680"/>
        <w:tab w:val="clear" w:pos="9360"/>
        <w:tab w:val="right" w:pos="10800"/>
      </w:tabs>
    </w:pPr>
    <w:r>
      <w:rPr>
        <w:color w:val="3A475C"/>
        <w:sz w:val="18"/>
      </w:rPr>
      <w:t xml:space="preserve">©2026 anoBytes Technology Solutions LLC | anobytes.com</w:t>
    </w:r>
    <w:r>
      <w:rPr>
        <w:color w:val="3A475C"/>
        <w:sz w:val="18"/>
      </w:rPr>
      <w:tab/>
    </w:r>
    <w:r>
      <w:rPr>
        <w:color w:val="3A475C"/>
        <w:sz w:val="18"/>
      </w:rPr>
      <w:t xml:space="preserve">Logging and Monitoring Policy | Page </w:t>
    </w:r>
    <w:r>
      <w:rPr>
        <w:color w:val="3A475C"/>
        <w:sz w:val="18"/>
      </w:rPr>
      <w:fldChar w:fldCharType="begin"/>
    </w:r>
    <w:r>
      <w:rPr>
        <w:color w:val="3A475C"/>
        <w:sz w:val="18"/>
      </w:rPr>
      <w:instrText xml:space="preserve"> PAGE </w:instrText>
    </w:r>
    <w:r>
      <w:rPr>
        <w:color w:val="3A475C"/>
        <w:sz w:val="18"/>
      </w:rPr>
      <w:fldChar w:fldCharType="separate"/>
    </w:r>
    <w:r>
      <w:rPr>
        <w:color w:val="3A475C"/>
        <w:sz w:val="18"/>
      </w:rPr>
      <w:t>1</w:t>
    </w:r>
    <w:r>
      <w:rPr>
        <w:color w:val="3A475C"/>
        <w:sz w:val="18"/>
      </w:rPr>
      <w:fldChar w:fldCharType="end"/>
    </w:r>
    <w:r>
      <w:rPr>
        <w:color w:val="3A475C"/>
        <w:sz w:val="18"/>
      </w:rPr>
      <w:t xml:space="preserve"> of </w:t>
    </w:r>
    <w:r>
      <w:rPr>
        <w:color w:val="3A475C"/>
        <w:sz w:val="18"/>
      </w:rPr>
      <w:fldChar w:fldCharType="begin"/>
    </w:r>
    <w:r>
      <w:rPr>
        <w:color w:val="3A475C"/>
        <w:sz w:val="18"/>
      </w:rPr>
      <w:instrText xml:space="preserve"> NUMPAGES </w:instrText>
    </w:r>
    <w:r>
      <w:rPr>
        <w:color w:val="3A475C"/>
        <w:sz w:val="18"/>
      </w:rPr>
      <w:fldChar w:fldCharType="separate"/>
    </w:r>
    <w:r>
      <w:rPr>
        <w:color w:val="3A475C"/>
        <w:sz w:val="18"/>
      </w:rPr>
      <w:t>6</w:t>
    </w:r>
    <w:r>
      <w:rPr>
        <w:color w:val="3A475C"/>
        <w:sz w:val="18"/>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720"/>
        </w:tabs>
        <w:ind w:left="72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40" w:lineRule="auto"/>
    </w:pPr>
    <w:rPr>
      <w:rFonts w:ascii="Arial" w:hAnsi="Arial" w:cs="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cs="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eastAsiaTheme="majorEastAsia" w:ascii="Arial" w:hAnsi="Arial" w:cs="Arial"/>
      <w:b/>
      <w:bCs/>
      <w:color w:val="365F91" w:themeColor="accent1" w:themeShade="BF"/>
      <w:sz w:val="26"/>
      <w:szCs w:val="28"/>
    </w:rPr>
  </w:style>
  <w:style w:type="paragraph" w:styleId="Heading2">
    <w:name w:val="heading 2"/>
    <w:basedOn w:val="Normal"/>
    <w:next w:val="Normal"/>
    <w:link w:val="Heading2Char"/>
    <w:uiPriority w:val="9"/>
    <w:unhideWhenUsed/>
    <w:qFormat/>
    <w:rsid w:val="00FC693F"/>
    <w:pPr>
      <w:keepNext/>
      <w:keepLines/>
      <w:spacing w:before="120" w:after="60"/>
      <w:outlineLvl w:val="1"/>
    </w:pPr>
    <w:rPr>
      <w:rFonts w:eastAsiaTheme="majorEastAsia" w:ascii="Arial" w:hAnsi="Arial" w:cs="Arial"/>
      <w:b/>
      <w:bCs/>
      <w:color w:val="4F81BD" w:themeColor="accent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eastAsiaTheme="majorEastAsia" w:ascii="Arial" w:hAnsi="Arial" w:cs="Arial"/>
      <w:color w:val="17365D" w:themeColor="text2" w:themeShade="BF"/>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40"/>
      <w:contextualSpacing/>
    </w:pPr>
    <w:rPr>
      <w:rFonts w:ascii="Arial" w:hAnsi="Arial" w:cs="Arial"/>
      <w:sz w:val="2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1676</Words>
  <Characters>17481</Characters>
  <DocSecurity>0</DocSecurity>
  <Lines>179</Lines>
  <Paragraphs>142</Paragraphs>
  <ScaleCrop>false</ScaleCrop>
  <HeadingPairs>
    <vt:vector size="2" baseType="variant">
      <vt:variant>
        <vt:lpstr>Title</vt:lpstr>
      </vt:variant>
      <vt:variant>
        <vt:i4>1</vt:i4>
      </vt:variant>
    </vt:vector>
  </HeadingPairs>
  <TitlesOfParts>
    <vt:vector size="1" baseType="lpstr">
      <vt:lpstr>Logging and Monitoring Policy</vt:lpstr>
    </vt:vector>
  </TitlesOfParts>
  <Manager/>
  <Company>anoBytes Technology Solutions LLC</Company>
  <LinksUpToDate>false</LinksUpToDate>
  <CharactersWithSpaces>20644</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dc:title>Logging and Monitoring Policy</dc:title>
  <dc:subject>Logging and Monitoring Policy template</dc:subject>
  <dc:creator>Nelson Pereira, anoBytes Technology Solutions LLC</dc:creator>
  <cp:keywords>siem, edr, detection-rule, detection rules, log source, retention schedule, clock synchronization, time sources, utc, central log store, audit logging, privileged actions, sign-ins, administrative shells, stored keys and secrets, dns queries, tampering, alerts, alert thresholds, on-call, silent sources, known limitation, endpoint detection and response, coverage check, web filtering, pci dss, workstations, capacity management, iso 27001</cp:keywords>
  <dc:description>What gets logged, where the logs live, how long they are kept, who reviews them, and how to prove the coverage is real. Aligned to CIS Control 8, Audit Log Management.</dc:description>
  <cp:lastModifiedBy/>
  <cp:revision>1</cp:revision>
  <dcterms:created xsi:type="dcterms:W3CDTF">2026-07-30T00:00:00Z</dcterms:created>
  <dcterms:modified xsi:type="dcterms:W3CDTF">2026-09-08T00:00:00Z</dcterms:modified>
  <cp:category>Template</cp:category>
</cp:coreProperties>
</file>