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 xml:space="preserve">Physical and Environmental Security Policy</w:t>
      </w:r>
    </w:p>
    <w:p>
      <w:pPr>
        <w:pStyle w:val="Heading1"/>
        <w:spacing w:before="0" w:after="80"/>
      </w:pPr>
      <w:r>
        <w:rPr>
          <w:color w:val="auto"/>
          <w:sz w:val="20"/>
          <w:szCs w:val="20"/>
        </w:rPr>
        <w:t xml:space="preserve">Document Control</w:t>
      </w:r>
    </w:p>
    <w:tbl>
      <w:tblPr>
        <w:tblStyle w:val="TableGrid"/>
        <w:tblW w:type="auto" w:w="0"/>
        <w:tblLook w:firstColumn="1" w:firstRow="1" w:lastColumn="0" w:lastRow="0" w:noHBand="0" w:noVBand="1" w:val="04A0"/>
      </w:tblPr>
      <w:tblGrid>
        <w:gridCol w:w="5400"/>
        <w:gridCol w:w="5400"/>
      </w:tblGrid>
      <w:tr>
        <w:tc>
          <w:tcPr>
            <w:tcW w:type="dxa" w:w="5400"/>
          </w:tcPr>
          <w:p>
            <w:r>
              <w:rPr>
                <w:b/>
              </w:rPr>
              <w:t xml:space="preserve">Document title</w:t>
            </w:r>
          </w:p>
        </w:tc>
        <w:tc>
          <w:tcPr>
            <w:tcW w:type="dxa" w:w="5400"/>
          </w:tcPr>
          <w:p>
            <w:r>
              <w:t xml:space="preserve">Physical and Environmental Security Policy</w:t>
            </w:r>
          </w:p>
        </w:tc>
      </w:tr>
      <w:tr>
        <w:tc>
          <w:tcPr>
            <w:tcW w:type="dxa" w:w="5400"/>
          </w:tcPr>
          <w:p>
            <w:r>
              <w:rPr>
                <w:b/>
              </w:rPr>
              <w:t xml:space="preserve">Version</w:t>
            </w:r>
          </w:p>
        </w:tc>
        <w:tc>
          <w:tcPr>
            <w:tcW w:type="dxa" w:w="5400"/>
          </w:tcPr>
          <w:p>
            <w:r>
              <w:t xml:space="preserve">1.0</w:t>
            </w:r>
          </w:p>
        </w:tc>
      </w:tr>
      <w:tr>
        <w:tc>
          <w:tcPr>
            <w:tcW w:type="dxa" w:w="5400"/>
          </w:tcPr>
          <w:p>
            <w:r>
              <w:rPr>
                <w:b/>
              </w:rPr>
              <w:t xml:space="preserve">Document owner</w:t>
            </w:r>
          </w:p>
        </w:tc>
        <w:tc>
          <w:tcPr>
            <w:tcW w:type="dxa" w:w="5400"/>
          </w:tcPr>
          <w:p>
            <w:r>
              <w:t xml:space="preserve">Information Security Lead</w:t>
            </w:r>
          </w:p>
        </w:tc>
      </w:tr>
      <w:tr>
        <w:tc>
          <w:tcPr>
            <w:tcW w:type="dxa" w:w="5400"/>
          </w:tcPr>
          <w:p>
            <w:r>
              <w:rPr>
                <w:b/>
              </w:rPr>
              <w:t xml:space="preserve">Approved by</w:t>
            </w:r>
          </w:p>
        </w:tc>
        <w:tc>
          <w:tcPr>
            <w:tcW w:type="dxa" w:w="5400"/>
          </w:tcPr>
          <w:p>
            <w:r>
              <w:rPr>
                <w:highlight w:val="yellow"/>
              </w:rPr>
              <w:t xml:space="preserve">[Name and title, e.g., Chief Executive Officer]</w:t>
            </w:r>
          </w:p>
        </w:tc>
      </w:tr>
      <w:tr>
        <w:tc>
          <w:tcPr>
            <w:tcW w:type="dxa" w:w="5400"/>
          </w:tcPr>
          <w:p>
            <w:r>
              <w:rPr>
                <w:b/>
              </w:rPr>
              <w:t xml:space="preserve">Effective date</w:t>
            </w:r>
          </w:p>
        </w:tc>
        <w:tc>
          <w:tcPr>
            <w:tcW w:type="dxa" w:w="5400"/>
          </w:tcPr>
          <w:p>
            <w:r>
              <w:rPr>
                <w:highlight w:val="yellow"/>
              </w:rPr>
              <w:t xml:space="preserve">[Date]</w:t>
            </w:r>
          </w:p>
        </w:tc>
      </w:tr>
      <w:tr>
        <w:tc>
          <w:tcPr>
            <w:tcW w:type="dxa" w:w="5400"/>
          </w:tcPr>
          <w:p>
            <w:r>
              <w:rPr>
                <w:b/>
              </w:rPr>
              <w:t xml:space="preserve">Next review date</w:t>
            </w:r>
          </w:p>
        </w:tc>
        <w:tc>
          <w:tcPr>
            <w:tcW w:type="dxa" w:w="5400"/>
          </w:tcPr>
          <w:p>
            <w:r>
              <w:rPr>
                <w:highlight w:val="yellow"/>
              </w:rPr>
              <w:t xml:space="preserve">[Date, no later than one year after the effective date]</w:t>
            </w:r>
          </w:p>
        </w:tc>
      </w:tr>
      <w:tr>
        <w:tc>
          <w:tcPr>
            <w:tcW w:type="dxa" w:w="5400"/>
          </w:tcPr>
          <w:p>
            <w:r>
              <w:rPr>
                <w:b/>
              </w:rPr>
              <w:t xml:space="preserve">Classification</w:t>
            </w:r>
          </w:p>
        </w:tc>
        <w:tc>
          <w:tcPr>
            <w:tcW w:type="dxa" w:w="5400"/>
          </w:tcPr>
          <w:p>
            <w:r>
              <w:rPr>
                <w:highlight w:val="yellow"/>
              </w:rPr>
              <w:t xml:space="preserve">[e.g., Internal (shareable with customers and auditors on request)]</w:t>
            </w:r>
          </w:p>
        </w:tc>
      </w:tr>
    </w:tbl>
    <w:p>
      <w:pPr>
        <w:pStyle w:val="Heading1"/>
        <w:spacing w:before="0" w:after="80"/>
      </w:pPr>
      <w:r>
        <w:rPr>
          <w:color w:val="auto"/>
          <w:sz w:val="20"/>
          <w:szCs w:val="20"/>
        </w:rPr>
        <w:t xml:space="preserve">Revision History</w:t>
      </w:r>
    </w:p>
    <w:tbl>
      <w:tblPr>
        <w:tblStyle w:val="TableGrid"/>
        <w:tblW w:type="auto" w:w="0"/>
        <w:tblLook w:firstColumn="1" w:firstRow="1" w:lastColumn="0" w:lastRow="0" w:noHBand="0" w:noVBand="1" w:val="04A0"/>
      </w:tblPr>
      <w:tblGrid>
        <w:gridCol w:w="1440"/>
        <w:gridCol w:w="2520"/>
        <w:gridCol w:w="6840"/>
      </w:tblGrid>
      <w:tr>
        <w:trPr>
          <w:tblHeader/>
        </w:trPr>
        <w:tc>
          <w:tcPr>
            <w:tcW w:type="dxa" w:w="1440"/>
          </w:tcPr>
          <w:p>
            <w:r>
              <w:rPr>
                <w:b/>
              </w:rPr>
              <w:t xml:space="preserve">Version</w:t>
            </w:r>
          </w:p>
        </w:tc>
        <w:tc>
          <w:tcPr>
            <w:tcW w:type="dxa" w:w="2520"/>
          </w:tcPr>
          <w:p>
            <w:r>
              <w:rPr>
                <w:b/>
              </w:rPr>
              <w:t xml:space="preserve">Date</w:t>
            </w:r>
          </w:p>
        </w:tc>
        <w:tc>
          <w:tcPr>
            <w:tcW w:type="dxa" w:w="6840"/>
          </w:tcPr>
          <w:p>
            <w:r>
              <w:rPr>
                <w:b/>
              </w:rPr>
              <w:t xml:space="preserve">Summary of changes</w:t>
            </w:r>
          </w:p>
        </w:tc>
      </w:tr>
      <w:tr>
        <w:tc>
          <w:tcPr>
            <w:tcW w:type="dxa" w:w="1440"/>
          </w:tcPr>
          <w:p>
            <w:r>
              <w:t xml:space="preserve">1.0</w:t>
            </w:r>
          </w:p>
        </w:tc>
        <w:tc>
          <w:tcPr>
            <w:tcW w:type="dxa" w:w="2520"/>
          </w:tcPr>
          <w:p>
            <w:r>
              <w:rPr>
                <w:highlight w:val="yellow"/>
              </w:rPr>
              <w:t xml:space="preserve">[Date]</w:t>
            </w:r>
          </w:p>
        </w:tc>
        <w:tc>
          <w:tcPr>
            <w:tcW w:type="dxa" w:w="6840"/>
          </w:tcPr>
          <w:p>
            <w:r>
              <w:t xml:space="preserve">Initial version.</w:t>
            </w:r>
          </w:p>
        </w:tc>
      </w:tr>
    </w:tbl>
    <w:p>
      <w:pPr>
        <w:pStyle w:val="Heading1"/>
      </w:pPr>
      <w:r>
        <w:t xml:space="preserve">1.0 Purpose</w:t>
      </w:r>
    </w:p>
    <w:p>
      <w:r>
        <w:t xml:space="preserve">This policy sets how </w:t>
      </w:r>
      <w:r>
        <w:rPr>
          <w:highlight w:val="yellow"/>
        </w:rPr>
        <w:t>[Company Name]</w:t>
      </w:r>
      <w:r>
        <w:t xml:space="preserve"> ("the organization") protects its information and equipment from physical and environmental threats: unauthorized entry, theft, tampering, the loss of power or cooling, and hazards such as fire and water.</w:t>
      </w:r>
    </w:p>
    <w:p>
      <w:r>
        <w:t>This policy is a supporting policy of the organization's Information Security Policy. It expands that policy's physical security requirement into working rules: the premises and equipment that hold the organization's information are protected against physical and environmental risk. At a policy level, it also puts into practice the physical controls of ISO/IEC 27001:2022 Annex A and the corresponding outcomes of the NIST Cybersecurity Framework (CSF) 2.0 (see Section 9.0).</w:t>
      </w:r>
    </w:p>
    <w:p>
      <w:pPr>
        <w:pStyle w:val="Heading1"/>
      </w:pPr>
      <w:r>
        <w:t xml:space="preserve">2.0 Scope</w:t>
      </w:r>
    </w:p>
    <w:p>
      <w:r>
        <w:t xml:space="preserve">This policy applies to every place the organization keeps or works with its information and equipment: offices and other premises it owns or rents, rooms and areas within them, the equipment inside (servers, network gear, laptops, printers, phones), and storage media (drives, USB sticks, backup tapes, paper records). It also covers the supporting utilities that equipment depends on (power, cooling, network connectivity, and, where present, water) and the power and network cabling in the building. It applies to the organization's employees and contractors wherever they work, including its premises and their home and other remote workspaces, and to visitors while they are on its premises.</w:t>
      </w:r>
    </w:p>
    <w:p>
      <w:r>
        <w:t xml:space="preserve">Where the organization's information or systems sit in a cloud service, a data center, a colocation facility (a third-party data center where the organization houses its own servers), or a shared or serviced building it does not control, the provider secures the premises. The organization confirms that security is adequate through the security assessment the Vendor Risk Management Policy requires, rather than through this policy. What the organization controls inside stays under this policy: in a colocation facility, that is its own locked cage, cabinet, or rack, the equipment and media inside, and the list of people it asks the provider to admit; in a shared or serviced building, it is the organization's own suite or floor, and the equipment, media, and papers in it.</w:t>
      </w:r>
    </w:p>
    <w:p>
      <w:r>
        <w:t xml:space="preserve">Where people work outside the organization's premises, this policy's rules for protecting assets off-premises (Section 3.8) apply, and the Remote Work &amp; Mobile Device Policy governs the device itself. An organization with no premises of its own, where the only equipment is what its people carry, still adopts this policy: Section 3.1 treats each home or remote workspace as the working perimeter, and Sections 3.6 to 3.9 apply in full. Sections 3.2 to 3.5 govern a site, and apply once the organization takes on space of its own.</w:t>
      </w:r>
    </w:p>
    <w:p>
      <w:pPr>
        <w:pStyle w:val="Heading1"/>
      </w:pPr>
      <w:r>
        <w:t xml:space="preserve">3.0 Policy Statements</w:t>
      </w:r>
    </w:p>
    <w:p>
      <w:r>
        <w:t xml:space="preserve">Throughout this policy, a statement of what the organization or its people do ("is encrypted", "are recorded") is a requirement. So are "must", "shall", and direct instructions such as "use only" or "never". The words "may" and "is acceptable" mark a permission. Where a requirement needs a planned deviation, Section 6.0 describes how to request an exception. Text in square brackets marks a decision to make when adopting this policy: a placeholder to fill in, a starting value to set, or a passage to review and then keep, adapt, or delete. Remove the brackets and the yellow highlighting after each decision. Some brackets hold a note to you rather than text to keep; delete the note once you have acted on it.</w:t>
      </w:r>
    </w:p>
    <w:p>
      <w:pPr>
        <w:pStyle w:val="Heading2"/>
      </w:pPr>
      <w:r>
        <w:t xml:space="preserve">3.1 Secure Areas and Perimeters</w:t>
      </w:r>
    </w:p>
    <w:p>
      <w:r>
        <w:t>The organization protects its premises in layers, so that reaching sensitive equipment or information means passing more than one control. The outermost layer is the physical security perimeter: the walls, doors, and barriers that separate the organization's space from public space. Perimeters are kept complete and sound: no unprotected gaps such as a propped fire door or a ground-floor server room behind a window, and doors, walls, and locks in good repair. Emergency exits stay usable, and entry controls never block anyone leaving. Where a security control conflicts with a fire or safety requirement, the organization follows the safety requirement.</w:t>
      </w:r>
    </w:p>
    <w:p>
      <w:pPr>
        <w:pStyle w:val="ListBullet"/>
      </w:pPr>
      <w:r>
        <w:t>Inside the perimeter, areas are graded by what they hold, and the more sensitive an area, the stronger its protection. Appendix 1 sets a starting model of physical zones, from public reception to secure areas that hold infrastructure or Confidential information under the Data Handling Policy. Rooms and areas dedicated to servers, network equipment, or bulk records are treated as secure areas: separated from general work areas, locked when unattended, and restricted to the people whose work requires access. A routine device sitting in a general work area, such as a printer or a small network switch, is protected under Section 3.6 instead.</w:t>
      </w:r>
    </w:p>
    <w:p>
      <w:pPr>
        <w:pStyle w:val="ListBullet"/>
      </w:pPr>
      <w:r>
        <w:t xml:space="preserve">Where the organization rents space in a shared or serviced building, the perimeter is the boundary of its own suite or floor; the building's shared controls (lobby, elevators, common entrances) sit outside the organization's control. The lease sets what the building operator provides, and the organization assesses that operator under the Vendor Risk Management Policy, as Section 2.0 requires. Where the organization has no dedicated premises, the home or remote workspace is the working perimeter, and Sections 3.6 to 3.9 govern it.</w:t>
      </w:r>
    </w:p>
    <w:p>
      <w:pPr>
        <w:pStyle w:val="ListBullet"/>
      </w:pPr>
      <w:r>
        <w:t xml:space="preserve">Where the organization houses equipment in a colocation facility, its cage, cabinet, or rack is a secure area under this policy: locked when unattended, and opened only by the people on the list the organization gives the provider. The organization's facility owner (the person accountable for the site, named in Section 4.0) keeps that list current, removes anyone whose system access is removed under the Access Control Policy, and reviews it </w:t>
      </w:r>
      <w:r>
        <w:rPr>
          <w:highlight w:val="yellow"/>
        </w:rPr>
        <w:t xml:space="preserve">[at least annually; keep matched to the Access Control Policy]</w:t>
      </w:r>
      <w:r>
        <w:t xml:space="preserve">. Each visit is recorded, by the provider's log or the organization's own.</w:t>
      </w:r>
    </w:p>
    <w:p>
      <w:pPr>
        <w:pStyle w:val="ListBullet"/>
      </w:pPr>
      <w:r>
        <w:t xml:space="preserve">When the organization gives up premises, the facility owner takes back the badges and keys the organization issued, or has the locks rekeyed. That person removes the organization's equipment, storage media, and paper records from the space, disposes under Section 3.9 of whatever it no longer needs, and asks the building operator to end the access that operator held for its people.</w:t>
      </w:r>
    </w:p>
    <w:p>
      <w:pPr>
        <w:pStyle w:val="Heading2"/>
      </w:pPr>
      <w:r>
        <w:t xml:space="preserve">3.2 Physical Entry and Visitors</w:t>
      </w:r>
    </w:p>
    <w:p>
      <w:r>
        <w:t xml:space="preserve">Entry to the organization's premises and to its secure areas is controlled, so that only the people entitled to be somewhere can get in. The Access Control Policy administers who is entitled to physical access, and grants and removes that access alongside their system access as people join, change roles, and leave. This section covers the entry controls themselves.</w:t>
      </w:r>
    </w:p>
    <w:p>
      <w:pPr>
        <w:pStyle w:val="ListBullet"/>
      </w:pPr>
      <w:r>
        <w:t xml:space="preserve">Each person entering identifies themselves and uses their own means of entry (a badge, key, code, or equivalent). Access credentials are not shared or lent. Where a door code is shared by design, such as a keypad code on a general office door, it is changed whenever someone who knows it leaves or no longer needs access, as the Access Control Policy requires; secure areas use individual credentials.</w:t>
      </w:r>
    </w:p>
    <w:p>
      <w:pPr>
        <w:pStyle w:val="ListBullet"/>
      </w:pPr>
      <w:r>
        <w:t xml:space="preserve">Tailgating (passing through a controlled door on someone else's entry without using your own credential, or holding the door open for someone who has not used theirs) is not allowed. The one exception is a visitor being escorted under this section's visitor rules, as the Acceptable Use Policy also provides. A lost or stolen badge or key is reported immediately (Section 7.0) so the badge can be disabled or the lock rekeyed.</w:t>
      </w:r>
    </w:p>
    <w:p>
      <w:pPr>
        <w:pStyle w:val="ListBullet"/>
      </w:pPr>
      <w:r>
        <w:t xml:space="preserve">Entry to secure areas is recorded, by the access system or a log, so the organization can tell who was in a sensitive area and when. Where a secure area has only a keyed lock and recording each entry is not practical, the organization instead keeps a record of who holds each key, which the facility owner reviews </w:t>
      </w:r>
      <w:r>
        <w:rPr>
          <w:highlight w:val="yellow"/>
        </w:rPr>
        <w:t xml:space="preserve">[at least annually; keep matched to the Access Control Policy]</w:t>
      </w:r>
      <w:r>
        <w:t xml:space="preserve">, alongside the physical access review that policy requires. That record narrows who could have entered. A secure area whose entries are not recorded also carries an intruder alarm under Section 3.3, which covers entry outside working hours. The Acceptable Use Policy sets each person's conduct at secured doors and with visitors; this section sets the entry controls that conduct operates within.</w:t>
      </w:r>
    </w:p>
    <w:p>
      <w:pPr>
        <w:pStyle w:val="ListBullet"/>
      </w:pPr>
      <w:r>
        <w:t xml:space="preserve">Visitors (anyone without standing access, including contractors, clients, and delivery and maintenance staff) sign in, are identified, and wear a visitor badge where the organization issues one. They are escorted in non-public areas and are not left alone in secure areas. The organization keeps the sign-in record as a security record; Section 3.3 sets who reviews it and when. Delivery and loading points are controlled so that incoming goods do not become a way into secure areas: deliveries are received in a defined area and checked before being brought further in. Equipment that arrives goes on the asset inventory where Section 3.8 requires it.</w:t>
      </w:r>
    </w:p>
    <w:p>
      <w:pPr>
        <w:pStyle w:val="Heading2"/>
      </w:pPr>
      <w:r>
        <w:t xml:space="preserve">3.3 Physical Security Monitoring</w:t>
      </w:r>
    </w:p>
    <w:p>
      <w:pPr>
        <w:pStyle w:val="ListBullet"/>
      </w:pPr>
      <w:r>
        <w:t xml:space="preserve">Premises and secure areas are monitored continuously for unauthorized physical access. The organization always runs one of two controls: an intruder alarm on perimeter and secure-area doors, or an access system that records every entry through the perimeter and into the secure areas of Section 3.2. An alarm raises an out-of-hours entry as it happens; an access system records it, and the review below finds it. A secure area whose entries are not recorded carries an intruder alarm, so every secure area has either an entry record or an alarm. An alarm is disarmed during working hours, so during those hours the people on site do the monitoring: everyone challenges or reports anyone they do not recognize in a non-public area, as Section 4.0 requires. Where its risk assessment calls for it, the organization adds video surveillance (CCTV) covering entrances and sensitive areas. A single office may rely on an alarm and staff challenge, while a site holding infrastructure may add cameras. Where the organization runs an intruder alarm, it is tested on the supplier's recommended schedule, and </w:t>
      </w:r>
      <w:r>
        <w:rPr>
          <w:highlight w:val="yellow"/>
        </w:rPr>
        <w:t xml:space="preserve">[at least annually]</w:t>
      </w:r>
      <w:r>
        <w:t xml:space="preserve"> where the supplier gives none. Each test is recorded.</w:t>
      </w:r>
    </w:p>
    <w:p>
      <w:pPr>
        <w:pStyle w:val="ListBullet"/>
      </w:pPr>
      <w:r>
        <w:t xml:space="preserve">The facility owner (Section 4.0) reviews what these controls record </w:t>
      </w:r>
      <w:r>
        <w:rPr>
          <w:highlight w:val="yellow"/>
        </w:rPr>
        <w:t xml:space="preserve">[at least monthly]</w:t>
      </w:r>
      <w:r>
        <w:t xml:space="preserve"> and after every alarm: the entry records, or the alarm's arming and activation log, plus the visitor sign-in record of Section 3.2. The review looks for entries outside working hours and for anyone with no reason to be in that area, and it is recorded. Camera footage is watched when an incident or something in this review calls for it.</w:t>
      </w:r>
    </w:p>
    <w:p>
      <w:pPr>
        <w:pStyle w:val="ListBullet"/>
      </w:pPr>
      <w:r>
        <w:t xml:space="preserve">Before it starts recording entries or running cameras, the organization gives the notice the law at each site requires, keeps it in place, and renews it on the schedule that law sets. </w:t>
      </w:r>
      <w:r>
        <w:rPr>
          <w:highlight w:val="yellow"/>
        </w:rPr>
        <w:t xml:space="preserve">[Have counsel confirm what each site needs. Some states require a notice posted where the people being monitored can see it, some a written notice to each person every year, and some both; audio recording often carries stricter rules. Check the access system as well as the cameras: some of these laws cover badge readers and exclude security cameras used for safety. Where entry uses a fingerprint, a face, or another physical characteristic, several states require written consent before collection and a published schedule for destroying what is held.]</w:t>
      </w:r>
    </w:p>
    <w:p>
      <w:pPr>
        <w:pStyle w:val="ListBullet"/>
      </w:pPr>
      <w:r>
        <w:t xml:space="preserve">Where the organization keeps entry records, camera footage, or alarm records, it protects and retains them as security records; the Data Handling Policy governs their classification and retention. The systems that produce them keep their clocks synchronized to the same time source the organization's other systems use, so their records line up with system logs during an investigation. Where a system's clock cannot be synchronized, the system owner records the limitation, as the Logging and Monitoring Policy requires. The organization uses them only for security and safety purposes, and within the privacy and employment-law obligations that apply; the Information Security Policy keeps the record of those obligations. Detected or suspected physical intrusion is handled as a security incident (Section 7.0 and the Incident Response Policy).</w:t>
      </w:r>
    </w:p>
    <w:p>
      <w:pPr>
        <w:pStyle w:val="Heading2"/>
      </w:pPr>
      <w:r>
        <w:t xml:space="preserve">3.4 Working in Secure Areas</w:t>
      </w:r>
    </w:p>
    <w:p>
      <w:pPr>
        <w:pStyle w:val="ListBullet"/>
      </w:pPr>
      <w:r>
        <w:t xml:space="preserve">Secure areas (server rooms, communications rooms, records stores, and similar) have extra rules while people work in them. Access is limited to those whose work requires it.</w:t>
      </w:r>
    </w:p>
    <w:p>
      <w:pPr>
        <w:pStyle w:val="ListBullet"/>
      </w:pPr>
      <w:r>
        <w:t xml:space="preserve">Visitors, and contractors without standing access to the area, do not work in a secure area unaccompanied: someone supervises their work. A third party holding standing access granted under the Access Control Policy may work there unaccompanied; their entry is recorded like anyone else's (Section 3.2).</w:t>
      </w:r>
    </w:p>
    <w:p>
      <w:pPr>
        <w:pStyle w:val="ListBullet"/>
      </w:pPr>
      <w:r>
        <w:t xml:space="preserve">Recording equipment (cameras, including phone cameras, and audio recorders) is used in a secure area only with the Information Security Lead's authorization; the surveillance installed under Section 3.3 carries that authorization. Secure areas are locked and checked when the last person leaves, and kept tidy so that anything out of place is noticeable.</w:t>
      </w:r>
    </w:p>
    <w:p>
      <w:pPr>
        <w:pStyle w:val="Heading2"/>
      </w:pPr>
      <w:r>
        <w:t xml:space="preserve">3.5 Protecting Against Physical and Environmental Threats</w:t>
      </w:r>
    </w:p>
    <w:p>
      <w:pPr>
        <w:pStyle w:val="ListBullet"/>
      </w:pPr>
      <w:r>
        <w:t xml:space="preserve">The organization protects its premises and equipment against physical and environmental threats: fire, flood and water, extremes of temperature and humidity, power loss, deliberate damage such as vandalism, arson, or sabotage, and, where relevant to the location, natural hazards such as storms or earthquakes. Protection is proportionate to what an area holds and to the local risk. Secure areas holding infrastructure have fire detection and suitable fire suppression, protection against water getting in, and temperature and humidity kept within the equipment's working range. Where local fire code requires sprinklers over a room holding equipment, the organization asks its fire contractor how to limit water damage, such as with a pre-action system that keeps the pipes dry until a detector fires, and records what it decides. A room holding bulk paper records has fire detection, and the records are kept off the floor and shelved or covered so that a leak or a sprinkler above them does not soak them.</w:t>
      </w:r>
    </w:p>
    <w:p>
      <w:pPr>
        <w:pStyle w:val="ListBullet"/>
      </w:pPr>
      <w:r>
        <w:t xml:space="preserve">Temperature and humidity are monitored, and an alert goes to the facility owner (Section 4.0) when they move outside the equipment's working range. That person answers the alert and records what was done; an alert that leaves equipment at risk is reported as an incident under Section 7.0.</w:t>
      </w:r>
    </w:p>
    <w:p>
      <w:pPr>
        <w:pStyle w:val="ListBullet"/>
      </w:pPr>
      <w:r>
        <w:t xml:space="preserve">The supporting utilities that equipment depends on (power, cooling, network connectivity, and, where present, water) are protected so that a utility failure does not immediately take systems down or damage them. For infrastructure the organization runs on premises it controls, this means at least surge-protected power and cooling adequate to the load, and, where the risk warrants, backed-up power: an uninterruptible power supply (UPS: a battery unit that keeps equipment running through a short outage) or a generator, sized to allow a safe shutdown or continued operation. The organization has these utilities inspected and tested on the supplier's recommended schedule, and </w:t>
      </w:r>
      <w:r>
        <w:rPr>
          <w:highlight w:val="yellow"/>
        </w:rPr>
        <w:t xml:space="preserve">[at least annually]</w:t>
      </w:r>
      <w:r>
        <w:t xml:space="preserve"> where the supplier gives none. Fire detection and suppression are tested on the supplier's schedule or at the frequency local fire and safety regulations require, whichever is more frequent, and </w:t>
      </w:r>
      <w:r>
        <w:rPr>
          <w:highlight w:val="yellow"/>
        </w:rPr>
        <w:t xml:space="preserve">[at least annually]</w:t>
      </w:r>
      <w:r>
        <w:t xml:space="preserve"> where neither sets one. Each test is recorded.</w:t>
      </w:r>
    </w:p>
    <w:p>
      <w:pPr>
        <w:pStyle w:val="ListBullet"/>
      </w:pPr>
      <w:r>
        <w:t xml:space="preserve">A room holding a concentration of equipment, such as a server or data room, has a switch that cuts its power in an emergency. The switch sits where the people who need it can reach it, and it is guarded so it cannot be pressed by accident. Where water pipes run through or above such a room, the people who work there know where the shutoff valve is and have checked that it turns. Lighting that comes on by itself in an outage covers the emergency exits and the routes to them, so the exits Section 3.1 keeps usable can still be found in the dark. The organization tests that switch and that lighting at the frequency local fire and safety regulations require, and </w:t>
      </w:r>
      <w:r>
        <w:rPr>
          <w:highlight w:val="yellow"/>
        </w:rPr>
        <w:t xml:space="preserve">[at least annually]</w:t>
      </w:r>
      <w:r>
        <w:t xml:space="preserve"> where they set none. Each test is recorded.</w:t>
      </w:r>
    </w:p>
    <w:p>
      <w:pPr>
        <w:pStyle w:val="ListBullet"/>
      </w:pPr>
      <w:r>
        <w:t>The Business Continuity &amp; Disaster Recovery Plan governs recovery from a physical or environmental incident that disrupts operations. This section covers reducing the chance of such an incident and the damage it does. Where the organization's infrastructure runs in a provider's facility (cloud or colocation), the provider carries these environmental controls, confirmed through the assessment the Vendor Risk Management Policy requires.</w:t>
      </w:r>
    </w:p>
    <w:p>
      <w:pPr>
        <w:pStyle w:val="Heading2"/>
      </w:pPr>
      <w:r>
        <w:t xml:space="preserve">3.6 Equipment Siting, Cabling, and Maintenance</w:t>
      </w:r>
    </w:p>
    <w:p>
      <w:pPr>
        <w:pStyle w:val="ListBullet"/>
      </w:pPr>
      <w:r>
        <w:t xml:space="preserve">Equipment is sited and protected to reduce the risk of damage, interference, and unauthorized access. Screens that show Confidential information are positioned so they cannot be read by passers-by or through windows (Section 3.7 covers locking them). Equipment is kept away from avoidable hazards (heat, water, dust, and high-traffic areas where it could be knocked or tampered with), and unattended equipment in public or semi-public areas is physically secured or removed. Equipment outside the building that the organization's systems depend on, such as a generator or an air-conditioning unit, is secured against tampering and damage.</w:t>
      </w:r>
    </w:p>
    <w:p>
      <w:pPr>
        <w:pStyle w:val="ListBullet"/>
      </w:pPr>
      <w:r>
        <w:t xml:space="preserve">Cabling that carries power or data, or that supports the organization's services, is protected from interception, interference, and damage: run out of easy reach where practical, and data cabling kept clear of power cabling. Patch panels and network cabinets in shared or public areas are locked.</w:t>
      </w:r>
    </w:p>
    <w:p>
      <w:pPr>
        <w:pStyle w:val="ListBullet"/>
      </w:pPr>
      <w:r>
        <w:t>Equipment is maintained so that it keeps working safely and securely: maintenance follows the supplier's recommendations, is done by authorized people (an outside maintenance provider is assessed under the Vendor Risk Management Policy), and is recorded. Before equipment leaves the organization's control for off-site repair or return, the organization removes or sanitizes any storage media in it that holds the organization's information (Section 3.9); the Data Handling Policy requires the same before any return for repair or replacement. A device that has failed and cannot be sanitized is destroyed rather than returned, unless it was encrypted from first use and its keys are destroyed under Section 3.9.</w:t>
      </w:r>
    </w:p>
    <w:p>
      <w:pPr>
        <w:pStyle w:val="Heading2"/>
      </w:pPr>
      <w:r>
        <w:t xml:space="preserve">3.7 Clear Desk and Clear Screen</w:t>
      </w:r>
    </w:p>
    <w:p>
      <w:pPr>
        <w:pStyle w:val="ListBullet"/>
      </w:pPr>
      <w:r>
        <w:t>The organization operates a clear-desk and clear-screen practice, so that an unattended workspace does not expose Confidential information (as classified by the Data Handling Policy). The organization provides what that takes: lockable storage (a drawer, cabinet, or room) for papers and removable media, a secure disposal route (a shredder or a locked disposal console) wherever Confidential papers are handled regularly, screens positioned as Section 3.6 requires, and, where its printers support one, a secure print-release feature (the printer holds a job until the person releases it at the device) so Confidential documents are not left in output trays. Where a printer has no such feature, the Acceptable Use Policy's requirement to collect printing from shared printers promptly covers the output tray instead. Where someone routinely works with Confidential papers in a home workspace, the organization provides lockable storage there too, and either a cross-cut shredder or a way to return the papers to the office for destruction (Section 3.9).</w:t>
      </w:r>
    </w:p>
    <w:p>
      <w:pPr>
        <w:pStyle w:val="ListBullet"/>
      </w:pPr>
      <w:r>
        <w:t>The Acceptable Use Policy sets two duties for each person: clearing the desk of Confidential papers and media whenever they are not in use and at the end of the day, and locking the screen when a device is left unattended (devices also lock themselves after a short period of inactivity, as the Remote Work &amp; Mobile Device Policy requires). They apply wherever people work, the home and remote workspace included: others in the home are not part of the organization, so Confidential information is kept from their view and reach too.</w:t>
      </w:r>
    </w:p>
    <w:p>
      <w:pPr>
        <w:pStyle w:val="Heading2"/>
      </w:pPr>
      <w:r>
        <w:t xml:space="preserve">3.8 Storage Media and Assets Off-Premises</w:t>
      </w:r>
    </w:p>
    <w:p>
      <w:pPr>
        <w:pStyle w:val="ListBullet"/>
      </w:pPr>
      <w:r>
        <w:t>Storage media that holds the organization's information (external drives, USB sticks, memory cards, backup tapes, and paper records) is protected in line with the sensitivity of what it holds. Removable electronic media is organization-approved and encrypted before it first holds the organization's information, as the Acceptable Use Policy requires and to the Encryption Policy's standard; media holding Confidential information is stored locked when not in use. The organization discourages removable media where a managed alternative exists, as the Acceptable Use Policy and the Remote Work &amp; Mobile Device Policy provide. Removable media holding Confidential information is tracked: security operations keeps an inventory of the approved media in circulation and who holds each item, as the Data Handling Policy requires.</w:t>
      </w:r>
    </w:p>
    <w:p>
      <w:pPr>
        <w:pStyle w:val="ListBullet"/>
      </w:pPr>
      <w:r>
        <w:t xml:space="preserve">Equipment and media taken off the organization's premises stay protected off-site. Taking equipment or storage media off the premises, other than the devices people carry for their ordinary work, needs the facility owner's approval (Section 4.0). That person records what left, who has it, and when it comes back. The Remote Work &amp; Mobile Device Policy requires full-disk encryption on the devices used away from the premises, to the Encryption Policy's standard. That encryption reduces the risk that a lost or stolen device becomes a data breach, but it does not replace physical care.</w:t>
      </w:r>
    </w:p>
    <w:p>
      <w:pPr>
        <w:pStyle w:val="ListBullet"/>
      </w:pPr>
      <w:r>
        <w:t xml:space="preserve">Confidential material moved between sites, or sent to a destruction service, on paper or on electronic media, travels with a trusted person or by a tracked service, and the organization confirms it arrived. Digital material is encrypted before it travels. The Data Handling Policy sets these rules, and a backup tape sent to an off-site store follows them like anything else.</w:t>
      </w:r>
    </w:p>
    <w:p>
      <w:pPr>
        <w:pStyle w:val="ListBullet"/>
      </w:pPr>
      <w:r>
        <w:t xml:space="preserve">The Acceptable Use Policy and the Remote Work &amp; Mobile Device Policy set the personal duties for protecting devices and media away from the premises. The management and configuration of the device itself are governed by the Remote Work &amp; Mobile Device Policy, and its day-to-day use by the Acceptable Use Policy. This section covers the storage media those policies do not.</w:t>
      </w:r>
    </w:p>
    <w:p>
      <w:pPr>
        <w:pStyle w:val="ListBullet"/>
      </w:pPr>
      <w:r>
        <w:t>The equipment and media this section protects are the assets the organization's asset inventory lists; where a device or electronic medium holds information and is not on the inventory, the organization adds it, as the Information Security Policy requires. Bulk paper records enter the inventory as grouped entries, such as a records store or an archive cabinet.</w:t>
      </w:r>
    </w:p>
    <w:p>
      <w:pPr>
        <w:pStyle w:val="Heading2"/>
      </w:pPr>
      <w:r>
        <w:t xml:space="preserve">3.9 Secure Disposal and Re-Use</w:t>
      </w:r>
    </w:p>
    <w:p>
      <w:r>
        <w:t>Before equipment or storage media that has held the organization's information is disposed of, sold, returned, or re-used, the organization removes the information on it so that it cannot feasibly be recovered, and removes any licensed software. Whether and when to dispose of the information itself is a Data Handling Policy decision (its retention schedule); this section is about doing the physical disposal securely once that decision is made.</w:t>
      </w:r>
    </w:p>
    <w:p>
      <w:pPr>
        <w:pStyle w:val="ListBullet"/>
      </w:pPr>
      <w:r>
        <w:t xml:space="preserve">The organization sanitizes electronic media by a method suited to the media and the sensitivity of the data: secure erasure where the media can be reliably erased, and physical destruction where it cannot. Erasing a solid-state drive (SSD) by overwriting it through its ordinary read and write interface does not reach the spare cells the drive keeps in reserve, so the organization uses the drive's own sanitize command instead, or destroys the drive. Where a service destroys the media, the organization uses one that disintegrates or incinerates it and certifies the result; shredding and pulverizing leave fragments that can still be read as drives pack data more densely, so they are not used on media that held Internal or Confidential information. Where the organization destroys media itself, it uses a technique rated for that media type.</w:t>
      </w:r>
    </w:p>
    <w:p>
      <w:pPr>
        <w:pStyle w:val="ListBullet"/>
      </w:pPr>
      <w:r>
        <w:t xml:space="preserve">Whoever erases or destroys media in-house checks the result before the item goes anywhere else: that the erasure tool reported completion with no errors, or that the destruction left the remnants that technique produces. Where a service destroys media off-site, the media counts as still holding the information until its certificate of destruction arrives, and that certificate names the technique used. Where no certificate has arrived within </w:t>
      </w:r>
      <w:r>
        <w:rPr>
          <w:highlight w:val="yellow"/>
        </w:rPr>
        <w:t xml:space="preserve">[30 days]</w:t>
      </w:r>
      <w:r>
        <w:t xml:space="preserve">, the facility owner chases it and reports the delay under Section 7.0. Where a check fails, the media is sanitized again by a stronger method, or destroyed.</w:t>
      </w:r>
    </w:p>
    <w:p>
      <w:pPr>
        <w:pStyle w:val="ListBullet"/>
      </w:pPr>
      <w:r>
        <w:t xml:space="preserve">Media that held Confidential information under the Data Handling Policy is erased only by a method that reaches the whole device, such as the drive's own sanitize command. Deleting the files or running a quick format leaves the data recoverable. Where no such method exists for that media, it is destroyed.</w:t>
      </w:r>
    </w:p>
    <w:p>
      <w:pPr>
        <w:pStyle w:val="ListBullet"/>
      </w:pPr>
      <w:r>
        <w:t xml:space="preserve">A drive encrypted from its first use can also be sanitized by destroying its encryption keys, since the data is unreadable without them. The Encryption Policy allows this only when every key that can decrypt any copy of the data is destroyed, the key was not derived from a passphrase, and the data does not have to stay secret for decades. A passphrase-derived key rules the method out because anyone who has the passphrase can re-derive it. Where any of those does not hold, the media is erased or destroyed instead.</w:t>
      </w:r>
    </w:p>
    <w:p>
      <w:pPr>
        <w:pStyle w:val="ListBullet"/>
      </w:pPr>
      <w:r>
        <w:t xml:space="preserve">Paper records holding Confidential information are cross-cut shredded or destroyed through a secure destruction service. Equipment passed to another user inside the organization is wiped and reset first.</w:t>
      </w:r>
    </w:p>
    <w:p>
      <w:pPr>
        <w:pStyle w:val="ListBullet"/>
      </w:pPr>
      <w:r>
        <w:t xml:space="preserve">Security operations records each disposal and sanitization: what the item was, the method used (erasure or destruction), the technique and the tool used, who did the work, how the result was checked, who checked it, and the date. The record is kept with the asset inventory entry the device is retired from, so the organization can show what happened to a given device or medium. A third party that carries out destruction or disposal has been assessed under the Vendor Risk Management Policy, works under a contract carrying that policy's terms, and provides evidence, such as a certificate of destruction, that the organization keeps.</w:t>
      </w:r>
    </w:p>
    <w:p>
      <w:pPr>
        <w:pStyle w:val="Heading1"/>
      </w:pPr>
      <w:r>
        <w:t xml:space="preserve">4.0 Roles and Responsibilities</w:t>
      </w:r>
    </w:p>
    <w:p>
      <w:pPr>
        <w:pStyle w:val="ListBullet"/>
      </w:pPr>
      <w:r>
        <w:t xml:space="preserve">The Information Security Lead owns this policy, sets the physical zone model and the monitoring and environmental measures each site needs from the organization's risk assessment (Sections 3.1, 3.3, and 3.5), keeps the list of secure areas and who may enter them current with the Access Control Policy, and answers questions about what this policy requires. That Lead also checks that the security awareness training the Information Security Policy requires covers the rules people apply themselves: challenging strangers, refusing to tailgate, escorting visitors, and clearing desks.</w:t>
      </w:r>
    </w:p>
    <w:p>
      <w:pPr>
        <w:pStyle w:val="ListBullet"/>
      </w:pPr>
      <w:r>
        <w:t xml:space="preserve">The organization names a facility owner, accountable for its premises and equipment. That is usually a facilities or office manager or an operations lead; in a small organization it may be the Information Security Lead or another nominated person. The Access Control Policy uses the same term. The facility owner puts the physical controls in place and keeps them working: entry controls, monitoring, environmental protection, and the maintenance and testing this policy requires. That person also reviews the entry and visitor records (Section 3.3), gives and maintains the monitoring notice Section 3.3 requires, answers an environmental alert (Section 3.5), and approves what leaves the premises and records its return (Section 3.8). The facility owner keeps these records </w:t>
      </w:r>
      <w:r>
        <w:rPr>
          <w:highlight w:val="yellow"/>
        </w:rPr>
        <w:t xml:space="preserve">[name the place, for example a shared folder or the facilities system]</w:t>
      </w:r>
      <w:r>
        <w:t xml:space="preserve">. The records are retained under the Data Handling Policy's retention schedule.</w:t>
      </w:r>
    </w:p>
    <w:p>
      <w:pPr>
        <w:pStyle w:val="ListBullet"/>
      </w:pPr>
      <w:r>
        <w:t xml:space="preserve">Security operations sanitizes and destroys media (Section 3.9), keeps the inventory of approved removable media (Section 3.8), and keeps the disposal and sanitization records. That function may sit with an internal team or a qualified service provider; in a small organization the Information Security Lead performs it.</w:t>
      </w:r>
    </w:p>
    <w:p>
      <w:pPr>
        <w:pStyle w:val="ListBullet"/>
      </w:pPr>
      <w:r>
        <w:t>Managers make sure that their people, and the visitors and contractors they host, follow this policy; that physical access is updated or removed when someone leaves or changes role, under the Access Control Policy; and that organization equipment is returned when someone leaves, as the Acceptable Use Policy requires.</w:t>
      </w:r>
    </w:p>
    <w:p>
      <w:pPr>
        <w:pStyle w:val="ListBullet"/>
      </w:pPr>
      <w:r>
        <w:t xml:space="preserve">Everyone protects the equipment and information in their care, follows the entry, clear-desk, and off-premises rules, challenges or reports people they do not recognize in non-public areas, and reports suspected physical security incidents promptly (Section 7.0).</w:t>
      </w:r>
    </w:p>
    <w:p>
      <w:pPr>
        <w:pStyle w:val="Heading1"/>
      </w:pPr>
      <w:r>
        <w:t xml:space="preserve">5.0 Policy Review and Updates</w:t>
      </w:r>
    </w:p>
    <w:p>
      <w:r>
        <w:t xml:space="preserve">This policy shall be reviewed at least annually, and sooner when the business, technology, regulations, or the threat environment change significantly. The Information Security Lead starts the review, and Executive Management (the organization's senior leadership, as the Information Security Policy defines it) approves changes before they take effect, following the review process in the Information Security Policy.</w:t>
      </w:r>
    </w:p>
    <w:p>
      <w:pPr>
        <w:pStyle w:val="Heading1"/>
      </w:pPr>
      <w:r>
        <w:t xml:space="preserve">6.0 Exceptions</w:t>
      </w:r>
    </w:p>
    <w:p>
      <w:r>
        <w:t xml:space="preserve">Any planned deviation from this policy requires a documented exception, requested and approved through the exception process in the Information Security Policy. Submit the request in writing to the Information Security Lead. Describe the business reason, what the exception covers, how long it is needed, and any temporary safeguards that reduce the risk. Exceptions expire and are reviewed under that process.</w:t>
      </w:r>
    </w:p>
    <w:p>
      <w:r>
        <w:t xml:space="preserve">An exception documents a temporary gap that stays subject to expiry and review. A gap that is discovered rather than planned is reported and handled first (see Section 7.0); if it must stay open afterward, an exception is requested promptly. A deviation someone chose to make without approval, or a discovered gap kept outside this process, is a violation (see Section 8.0).</w:t>
      </w:r>
    </w:p>
    <w:p>
      <w:pPr>
        <w:pStyle w:val="Heading1"/>
      </w:pPr>
      <w:r>
        <w:t xml:space="preserve">7.0 Reporting Security Incidents and Concerns</w:t>
      </w:r>
    </w:p>
    <w:p>
      <w:r>
        <w:t>Promptly report a suspected physical security incident: a forced, propped, or malfunctioning door; a person you do not recognize in a non-public area; tailgating; a break-in or attempted break-in; and other security concerns. Report a lost or stolen badge, key, device, or storage medium immediately; the Acceptable Use Policy and the Remote Work &amp; Mobile Device Policy require the same of a lost or stolen device. Use the incident reporting contacts kept in the Information Security Policy (its Appendix 1). A report to any manager counts; the manager passes it to those contacts. Failing to report a security incident you know about or reasonably suspect is itself a policy violation (see Section 8.0).</w:t>
      </w:r>
    </w:p>
    <w:p>
      <w:r>
        <w:t xml:space="preserve">The organization does not punish anyone for making a good-faith report. </w:t>
      </w:r>
      <w:r>
        <w:rPr>
          <w:highlight w:val="yellow"/>
        </w:rPr>
        <w:t xml:space="preserve">[It treats an honest mistake reported promptly more leniently than one concealed, and a late report more leniently than no report at all.]</w:t>
      </w:r>
      <w:r>
        <w:t xml:space="preserve"> Any discipline for the underlying conduct follows Section 8.0.</w:t>
      </w:r>
    </w:p>
    <w:p>
      <w:pPr>
        <w:pStyle w:val="Heading1"/>
      </w:pPr>
      <w:r>
        <w:t xml:space="preserve">8.0 Violations and Disciplinary Action</w:t>
      </w:r>
    </w:p>
    <w:p>
      <w:r>
        <w:t xml:space="preserve">Anyone who violates this policy can face disciplinary action, up to and including termination of employment or contract, and legal action where applicable. The response to a violation will depend on its severity, its impact on the organization's security, and any legal or regulatory requirements.</w:t>
      </w:r>
    </w:p>
    <w:p>
      <w:pPr>
        <w:pStyle w:val="Heading1"/>
      </w:pPr>
      <w:r>
        <w:t xml:space="preserve">9.0 Related Policies and Standards</w:t>
      </w:r>
    </w:p>
    <w:p>
      <w:r>
        <w:t xml:space="preserve">This policy is a supporting policy of the Information Security Policy, the top-level document of the organization's information security policy set. This policy may set stricter rules; a stricter rule is not a conflict. If this policy contradicts the Information Security Policy, the Information Security Policy prevails.</w:t>
      </w:r>
    </w:p>
    <w:p>
      <w:r>
        <w:t xml:space="preserve">It works alongside these policies:</w:t>
      </w:r>
    </w:p>
    <w:p>
      <w:pPr>
        <w:pStyle w:val="ListBullet"/>
      </w:pPr>
      <w:r>
        <w:t xml:space="preserve">The Access Control Policy: it administers who holds physical access rights and grants and removes them as people join, move, and leave; this policy sets the entry controls those rights operate within.</w:t>
      </w:r>
    </w:p>
    <w:p>
      <w:pPr>
        <w:pStyle w:val="ListBullet"/>
      </w:pPr>
      <w:r>
        <w:t xml:space="preserve">The Acceptable Use Policy: it sets the personal duties this policy relies on, namely clearing desks, locking screens, not tailgating, and protecting devices away from the premises.</w:t>
      </w:r>
    </w:p>
    <w:p>
      <w:pPr>
        <w:pStyle w:val="ListBullet"/>
      </w:pPr>
      <w:r>
        <w:t xml:space="preserve">The Data Handling Policy: it classifies the information that physical protection, media handling, and secure disposal are sized to, sets how Confidential material travels between sites, and sets when information is disposed of.</w:t>
      </w:r>
    </w:p>
    <w:p>
      <w:pPr>
        <w:pStyle w:val="ListBullet"/>
      </w:pPr>
      <w:r>
        <w:t xml:space="preserve">The Remote Work &amp; Mobile Device Policy: it governs the devices used away from the premises; this policy covers those devices' physical protection and the storage media they use.</w:t>
      </w:r>
    </w:p>
    <w:p>
      <w:pPr>
        <w:pStyle w:val="ListBullet"/>
      </w:pPr>
      <w:r>
        <w:t xml:space="preserve">The Encryption Policy: it encrypts the portable devices and media this policy protects, reducing what a lost or stolen device exposes.</w:t>
      </w:r>
    </w:p>
    <w:p>
      <w:pPr>
        <w:pStyle w:val="ListBullet"/>
      </w:pPr>
      <w:r>
        <w:t xml:space="preserve">The Vendor Risk Management Policy: it assesses the cloud, data-center, building, maintenance, and destruction providers this policy relies on.</w:t>
      </w:r>
    </w:p>
    <w:p>
      <w:pPr>
        <w:pStyle w:val="ListBullet"/>
      </w:pPr>
      <w:r>
        <w:t xml:space="preserve">The Logging and Monitoring Policy: it counts the entry, alarm, and camera systems among the log sources it covers; this policy sets who reviews their records and when.</w:t>
      </w:r>
    </w:p>
    <w:p>
      <w:pPr>
        <w:pStyle w:val="ListBullet"/>
      </w:pPr>
      <w:r>
        <w:t xml:space="preserve">The Incident Response Policy: it runs a detected or suspected physical intrusion as a security incident.</w:t>
      </w:r>
    </w:p>
    <w:p>
      <w:pPr>
        <w:pStyle w:val="ListBullet"/>
      </w:pPr>
      <w:r>
        <w:t xml:space="preserve">The Business Continuity &amp; Disaster Recovery Plan: it restores operations after a physical or environmental incident this policy works to prevent.</w:t>
      </w:r>
    </w:p>
    <w:p>
      <w:r>
        <w:t xml:space="preserve">Where any of these does not exist yet, treat it as a roadmap item; the rules in this policy apply on their own regardless.</w:t>
      </w:r>
    </w:p>
    <w:p>
      <w:r>
        <w:t xml:space="preserve">At a policy level, these rules put into practice the physical controls of ISO/IEC 27001:2022 Annex A, section 7 (Physical controls): controls 7.1 (physical security perimeters), 7.2 (physical entry), 7.3 (securing offices, rooms and facilities), 7.4 (physical security monitoring), 7.5 (protecting against physical and environmental threats), 7.6 (working in secure areas), 7.7 (clear desk and clear screen), 7.8 (equipment siting and protection), 7.9 (security of assets off-premises), 7.10 (storage media), 7.11 (supporting utilities), 7.12 (cabling security), 7.13 (equipment maintenance), and 7.14 (secure disposal or re-use of equipment).</w:t>
      </w:r>
    </w:p>
    <w:p>
      <w:r>
        <w:t xml:space="preserve">They support the Protect function of the NIST Cybersecurity Framework 2.0, in particular the outcomes that physical access to assets is managed, monitored, and enforced commensurate with risk (PR.AA-06) and that the organization's technology assets are protected from environmental threats (PR.IR-02). The monitoring in Section 3.3 also supports the Framework's Detect outcome that the physical environment is monitored to find potentially adverse events (DE.CM-02). The media and off-premises rules of Sections 3.7 to 3.9 support the Protect outcome that data at rest is protected (PR.DS-01), and Section 3.9's disposal and sanitization rules support the Identify outcome that systems, hardware, software, services, and data are managed throughout their life cycles (ID.AM-08).</w:t>
      </w:r>
    </w:p>
    <w:p>
      <w:r>
        <w:t xml:space="preserve">Beyond this policy, the Physical and Environmental Protection (PE) control family of NIST Special Publication (SP) 800-53 Revision 5 gives control-level detail, and NIST SP 800-88 Revision 2, Guidelines for Media Sanitization, sets out the methods behind Section 3.9.</w:t>
      </w:r>
    </w:p>
    <w:p>
      <w:pPr>
        <w:pStyle w:val="Heading1"/>
      </w:pPr>
      <w:r>
        <w:t xml:space="preserve">Appendix 1: Physical Security Zones</w:t>
      </w:r>
    </w:p>
    <w:p>
      <w:r>
        <w:t xml:space="preserve">This table is a starting model for grading physical areas; the rules in Sections 3.1 to 3.9 govern. Each zone carries the controls of the zones above it as well as its own, so the table lists only what each one adds: a server room is locked when unattended and its visitors escorted and logged, even though those entries appear a row higher. Adjust it to the premises the organization actually has and delete the rows that do not apply; a single-office organization may keep only the first two or three zones. The policy body uses "secure areas" for the Controlled (sensitive areas) and Secure zones below. An organization with no premises of its own may not need this table at all: under Section 3.1 it treats each home or remote workspace as the working perimeter instead, and notes in Section 2.0 that Sections 3.2 to 3.5 do not yet apply.</w:t>
      </w:r>
    </w:p>
    <w:tbl>
      <w:tblPr>
        <w:tblStyle w:val="TableGrid"/>
        <w:tblW w:type="auto" w:w="0"/>
        <w:tblLook w:firstColumn="1" w:firstRow="1" w:lastColumn="0" w:lastRow="0" w:noHBand="0" w:noVBand="1" w:val="04A0"/>
      </w:tblPr>
      <w:tblGrid>
        <w:gridCol w:w="2200"/>
        <w:gridCol w:w="4600"/>
        <w:gridCol w:w="4000"/>
      </w:tblGrid>
      <w:tr>
        <w:trPr>
          <w:cantSplit/>
          <w:tblHeader/>
        </w:trPr>
        <w:tc>
          <w:tcPr>
            <w:tcW w:type="dxa" w:w="2200"/>
          </w:tcPr>
          <w:p>
            <w:r>
              <w:rPr>
                <w:b/>
              </w:rPr>
              <w:t xml:space="preserve">Zone</w:t>
            </w:r>
          </w:p>
        </w:tc>
        <w:tc>
          <w:tcPr>
            <w:tcW w:type="dxa" w:w="4600"/>
          </w:tcPr>
          <w:p>
            <w:r>
              <w:rPr>
                <w:b/>
              </w:rPr>
              <w:t xml:space="preserve">What it holds</w:t>
            </w:r>
          </w:p>
        </w:tc>
        <w:tc>
          <w:tcPr>
            <w:tcW w:type="dxa" w:w="4000"/>
          </w:tcPr>
          <w:p>
            <w:r>
              <w:rPr>
                <w:b/>
              </w:rPr>
              <w:t xml:space="preserve">Entry and controls</w:t>
            </w:r>
          </w:p>
        </w:tc>
      </w:tr>
      <w:tr>
        <w:trPr>
          <w:cantSplit/>
        </w:trPr>
        <w:tc>
          <w:tcPr>
            <w:tcW w:type="dxa" w:w="2200"/>
          </w:tcPr>
          <w:p>
            <w:r>
              <w:t xml:space="preserve">Public</w:t>
            </w:r>
          </w:p>
        </w:tc>
        <w:tc>
          <w:tcPr>
            <w:tcW w:type="dxa" w:w="4600"/>
          </w:tcPr>
          <w:p>
            <w:r>
              <w:t xml:space="preserve">Areas open to people before they sign in: street frontage, reception or lobby.</w:t>
            </w:r>
          </w:p>
        </w:tc>
        <w:tc>
          <w:tcPr>
            <w:tcW w:type="dxa" w:w="4000"/>
          </w:tcPr>
          <w:p>
            <w:r>
              <w:t xml:space="preserve">Open or staffed; reception signs in and directs visitors; no unescorted access to organization information or equipment.</w:t>
            </w:r>
          </w:p>
        </w:tc>
      </w:tr>
      <w:tr>
        <w:trPr>
          <w:cantSplit/>
        </w:trPr>
        <w:tc>
          <w:tcPr>
            <w:tcW w:type="dxa" w:w="2200"/>
          </w:tcPr>
          <w:p>
            <w:r>
              <w:t xml:space="preserve">Controlled (general work areas)</w:t>
            </w:r>
          </w:p>
        </w:tc>
        <w:tc>
          <w:tcPr>
            <w:tcW w:type="dxa" w:w="4600"/>
          </w:tcPr>
          <w:p>
            <w:r>
              <w:t xml:space="preserve">Offices and general workspaces where staff handle day-to-day information.</w:t>
            </w:r>
          </w:p>
        </w:tc>
        <w:tc>
          <w:tcPr>
            <w:tcW w:type="dxa" w:w="4000"/>
          </w:tcPr>
          <w:p>
            <w:r>
              <w:t xml:space="preserve">Badge, key, or code entry; staff and escorted visitors only; clear desk and clear screen (Section 3.7).</w:t>
            </w:r>
          </w:p>
        </w:tc>
      </w:tr>
      <w:tr>
        <w:trPr>
          <w:cantSplit/>
        </w:trPr>
        <w:tc>
          <w:tcPr>
            <w:tcW w:type="dxa" w:w="2200"/>
          </w:tcPr>
          <w:p>
            <w:r>
              <w:t xml:space="preserve">Controlled (sensitive areas)</w:t>
            </w:r>
          </w:p>
        </w:tc>
        <w:tc>
          <w:tcPr>
            <w:tcW w:type="dxa" w:w="4600"/>
          </w:tcPr>
          <w:p>
            <w:r>
              <w:t xml:space="preserve">Areas holding Confidential information or the equipment that serves it: records stores, communications rooms, wiring closets.</w:t>
            </w:r>
          </w:p>
        </w:tc>
        <w:tc>
          <w:tcPr>
            <w:tcW w:type="dxa" w:w="4000"/>
          </w:tcPr>
          <w:p>
            <w:r>
              <w:t xml:space="preserve">Named access only, recorded; locked when unattended; visitors escorted and logged; monitoring (Section 3.3); no unauthorized recording (Section 3.4).</w:t>
            </w:r>
          </w:p>
        </w:tc>
      </w:tr>
      <w:tr>
        <w:trPr>
          <w:cantSplit/>
        </w:trPr>
        <w:tc>
          <w:tcPr>
            <w:tcW w:type="dxa" w:w="2200"/>
          </w:tcPr>
          <w:p>
            <w:r>
              <w:t xml:space="preserve">Secure (infrastructure / high-security)</w:t>
            </w:r>
          </w:p>
        </w:tc>
        <w:tc>
          <w:tcPr>
            <w:tcW w:type="dxa" w:w="4600"/>
          </w:tcPr>
          <w:p>
            <w:r>
              <w:t>Server or data rooms, or any other area dedicated to the organization's own infrastructure.</w:t>
            </w:r>
          </w:p>
        </w:tc>
        <w:tc>
          <w:tcPr>
            <w:tcW w:type="dxa" w:w="4000"/>
          </w:tcPr>
          <w:p>
            <w:r>
              <w:t xml:space="preserve">Environmental protection and emergency controls (Section 3.5).</w:t>
            </w:r>
          </w:p>
        </w:tc>
      </w:tr>
    </w:tbl>
    <w:p>
      <w:pPr>
        <w:spacing w:before="0" w:after="0" w:line="20" w:lineRule="exact"/>
        <w:rPr>
          <w:sz w:val="4"/>
          <w:szCs w:val="4"/>
        </w:rPr>
      </w:pPr>
    </w:p>
    <w:sectPr w:rsidR="00FC693F" w:rsidRPr="0006063C" w:rsidSect="00034616">
      <w:footerReference w:type="default" r:id="rId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val="clear" w:pos="4680"/>
        <w:tab w:val="clear" w:pos="9360"/>
        <w:tab w:val="right" w:pos="10800"/>
      </w:tabs>
    </w:pPr>
    <w:r>
      <w:rPr>
        <w:color w:val="3A475C"/>
        <w:sz w:val="18"/>
      </w:rPr>
      <w:t xml:space="preserve">©2026 anoBytes Technology Solutions LLC | anobytes.com</w:t>
    </w:r>
    <w:r>
      <w:rPr>
        <w:color w:val="3A475C"/>
        <w:sz w:val="18"/>
      </w:rPr>
      <w:tab/>
    </w:r>
    <w:r>
      <w:rPr>
        <w:color w:val="3A475C"/>
        <w:sz w:val="18"/>
      </w:rPr>
      <w:t xml:space="preserve">Physical and Environmental Security Policy | Page </w:t>
    </w:r>
    <w:r>
      <w:rPr>
        <w:color w:val="3A475C"/>
        <w:sz w:val="18"/>
      </w:rPr>
      <w:fldChar w:fldCharType="begin"/>
    </w:r>
    <w:r>
      <w:rPr>
        <w:color w:val="3A475C"/>
        <w:sz w:val="18"/>
      </w:rPr>
      <w:instrText xml:space="preserve"> PAGE </w:instrText>
    </w:r>
    <w:r>
      <w:rPr>
        <w:color w:val="3A475C"/>
        <w:sz w:val="18"/>
      </w:rPr>
      <w:fldChar w:fldCharType="separate"/>
    </w:r>
    <w:r>
      <w:rPr>
        <w:color w:val="3A475C"/>
        <w:sz w:val="18"/>
      </w:rPr>
      <w:t>1</w:t>
    </w:r>
    <w:r>
      <w:rPr>
        <w:color w:val="3A475C"/>
        <w:sz w:val="18"/>
      </w:rPr>
      <w:fldChar w:fldCharType="end"/>
    </w:r>
    <w:r>
      <w:rPr>
        <w:color w:val="3A475C"/>
        <w:sz w:val="18"/>
      </w:rPr>
      <w:t xml:space="preserve"> of </w:t>
    </w:r>
    <w:r>
      <w:rPr>
        <w:color w:val="3A475C"/>
        <w:sz w:val="18"/>
      </w:rPr>
      <w:fldChar w:fldCharType="begin"/>
    </w:r>
    <w:r>
      <w:rPr>
        <w:color w:val="3A475C"/>
        <w:sz w:val="18"/>
      </w:rPr>
      <w:instrText xml:space="preserve"> NUMPAGES </w:instrText>
    </w:r>
    <w:r>
      <w:rPr>
        <w:color w:val="3A475C"/>
        <w:sz w:val="18"/>
      </w:rPr>
      <w:fldChar w:fldCharType="separate"/>
    </w:r>
    <w:r>
      <w:rPr>
        <w:color w:val="3A475C"/>
        <w:sz w:val="18"/>
      </w:rPr>
      <w:t>7</w:t>
    </w:r>
    <w:r>
      <w:rPr>
        <w:color w:val="3A475C"/>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720"/>
        </w:tabs>
        <w:ind w:left="72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s="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eastAsiaTheme="majorEastAsia" w:ascii="Arial" w:hAnsi="Arial" w:cs="Arial"/>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eastAsiaTheme="majorEastAsia" w:ascii="Arial" w:hAnsi="Arial" w:cs="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eastAsiaTheme="majorEastAsia" w:ascii="Arial" w:hAnsi="Arial" w:cs="Arial"/>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rial" w:hAnsi="Arial" w:cs="Arial"/>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3952</Words>
  <Characters>21874</Characters>
  <DocSecurity>0</DocSecurity>
  <Lines>148</Lines>
  <Paragraphs>99</Paragraphs>
  <ScaleCrop>false</ScaleCrop>
  <HeadingPairs>
    <vt:vector size="2" baseType="variant">
      <vt:variant>
        <vt:lpstr>Title</vt:lpstr>
      </vt:variant>
      <vt:variant>
        <vt:i4>1</vt:i4>
      </vt:variant>
    </vt:vector>
  </HeadingPairs>
  <TitlesOfParts>
    <vt:vector size="1" baseType="lpstr">
      <vt:lpstr>Physical and Environmental Security Policy</vt:lpstr>
    </vt:vector>
  </TitlesOfParts>
  <Manager/>
  <Company>anoBytes Technology Solutions LLC</Company>
  <LinksUpToDate>false</LinksUpToDate>
  <CharactersWithSpaces>25825</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dc:title>Physical and Environmental Security Policy</dc:title>
  <dc:subject>Physical and environmental security policy template</dc:subject>
  <dc:creator>Nelson Pereira, anoBytes Technology Solutions LLC</dc:creator>
  <cp:keywords>physical access, entry controls, badge, lost or stolen badge, tailgating, tailgate, visitors, escorted, escort, visitor sign-in, entry records, activation log, notice, cctv, surveillance, camera footage, intruder alarm, perimeter, zones, premises, offices, secure areas, sensitive areas, server rooms, communications room, wiring closet, records stores, reception, delivery, loading, colocation, data center, cage, rack, cabinet, shared or serviced building, keys, who holds each key, rekeyed, locks, supporting utilities, power, outage, ups, uninterruptible power supply, generator, lighting, emergency exits, cooling, air-conditioning, temperature, humidity, fire door, fire detection, fire suppression, sprinklers, water damage, flood, earthquake, vandalism, arson, sabotage, theft, break-in, equipment siting, cabling, maintenance, off-site repair, asset inventory, paper records, storage media, backup tapes, off-premises, secure print-release, printers, shredder, shredding, cross-cut, sanitization, secure erasure, erased, destroyed, encryption keys, solid-state drive, ssd, sanitize command, certificate of destruction, disposal, unattended, remote workspace, home workspace, clocks synchronized, time source, iso/iec 27001, annex a, nist cybersecurity framework, csf, 800-88, 800-53, threats</cp:keywords>
  <dc:description>Secure areas and who may enter them, monitoring and the notice it requires, protection from fire, water, and power loss, equipment handling, and secure disposal.</dc:description>
  <cp:lastModifiedBy/>
  <cp:revision>1</cp:revision>
  <dcterms:created xsi:type="dcterms:W3CDTF">2026-07-20T12:00:00Z</dcterms:created>
  <dcterms:modified xsi:type="dcterms:W3CDTF">2026-09-08T00:00:00Z</dcterms:modified>
  <cp:category>Template</cp:category>
</cp:coreProperties>
</file>