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Remote Work &amp; Mobile Device Policy</w:t>
      </w:r>
    </w:p>
    <w:p>
      <w:pPr>
        <w:pStyle w:val="Heading1"/>
        <w:spacing w:before="0" w:after="80"/>
      </w:pPr>
      <w:r>
        <w:rPr>
          <w:color w:val="auto"/>
          <w:sz w:val="20"/>
          <w:szCs w:val="20"/>
        </w:rPr>
        <w:t xml:space="preserve">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Remote Work &amp; Mobile Device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 xml:space="preserve">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sets out how people at </w:t>
      </w:r>
      <w:r>
        <w:rPr>
          <w:highlight w:val="yellow"/>
        </w:rPr>
        <w:t xml:space="preserve">[Company Name]</w:t>
      </w:r>
      <w:r>
        <w:t xml:space="preserve"> ("the organization") work away from the office (at home, on the road, on a phone in a checkout line) and what the organization does to keep its information protected while they do. It sets the requirements for remote work and for every device used for business, organization-owned or personal.</w:t>
      </w:r>
    </w:p>
    <w:p>
      <w:r>
        <w:t xml:space="preserve">This policy is a supporting policy of the organization's Information Security Policy, and it is the documented set of remote work and mobile device requirements that policy calls for. At a policy level, it puts into practice the relevant device and remote working controls of ISO/IEC 27001:2022 Annex A and the corresponding outcomes of the NIST Cybersecurity Framework (CSF) 2.0 (see Section 9.0).</w:t>
      </w:r>
    </w:p>
    <w:p>
      <w:pPr>
        <w:pStyle w:val="Heading1"/>
      </w:pPr>
      <w:r>
        <w:t xml:space="preserve">2.0 Scope</w:t>
      </w:r>
    </w:p>
    <w:p>
      <w:r>
        <w:t xml:space="preserve">This policy applies to all remote work: any work done outside the organization's premises, at home, while traveling, in public places, or at a customer's site. It also applies to every device used for business, wherever the device is used: laptops, desktops, phones, tablets, and any other user device, organization-owned, personal, or a contractor firm's (Section 3.4). The device requirements apply in the office too. It applies to employees, contractors, and any other authorized users.</w:t>
      </w:r>
    </w:p>
    <w:p>
      <w:r>
        <w:t xml:space="preserve">The everyday duties each person acknowledges are in the Acceptable Use Policy, and the rules for accounts and sign-in are in the Access Control Policy. This policy sets the device requirements, approvals, and standards behind both. Sections 3.1, 3.2, and 3.4 to 3.8 also carry rules that fall on whoever is holding the device, so everyone who works remotely or uses a device for business acknowledges this policy as well (Section 4.0).</w:t>
      </w:r>
    </w:p>
    <w:p>
      <w:pPr>
        <w:pStyle w:val="Heading1"/>
      </w:pPr>
      <w:r>
        <w:t xml:space="preserve">3.0 Policy Statements</w:t>
      </w:r>
    </w:p>
    <w:p>
      <w:r>
        <w:t>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Working Remotely</w:t>
      </w:r>
    </w:p>
    <w:p>
      <w:pPr>
        <w:pStyle w:val="ListBullet"/>
      </w:pPr>
      <w:r>
        <w:t>Whether a role can be done remotely is decided under the organization's employment policies and applicable law (including accommodation, timekeeping, and expense rules other than the personal-device reimbursement Section 3.4 sets). This policy sets only the security side: the requirements that apply when work happens remotely, wherever that is.</w:t>
      </w:r>
    </w:p>
    <w:p>
      <w:pPr>
        <w:pStyle w:val="ListBullet"/>
      </w:pPr>
      <w:r>
        <w:t xml:space="preserve">Working abroad, or from any country other than the one where the role is based, needs the Information Security Lead's approval before the work starts, and again before any extension. The Lead records with the arrangement whether the organization's devices and encryption may lawfully be taken there, what the destination's authorities may inspect on arrival, and what its laws require of the information the work touches. Where the destination is on the high-risk list, Section 3.6 applies as well. The employment, tax, and immigration side is decided under the organization's employment policies.</w:t>
      </w:r>
    </w:p>
    <w:p>
      <w:pPr>
        <w:pStyle w:val="ListBullet"/>
      </w:pPr>
      <w:r>
        <w:t xml:space="preserve">Work happens only on devices governed by this policy: an organization-owned device (Section 3.3), an approved personal device (Section 3.4), or a contractor device accepted under Section 3.4. A household computer, a hotel business center, or any other outside device is not used for organization work, however briefly; even a quick sign-in leaves credentials and data on a machine the organization cannot see or clean. An organization-owned device is not handed to anyone else, even briefly, family and other people in the household included. On any device, no one else uses the organization's data, work apps, or accounts. Lock the device, or its work area, before setting it down.</w:t>
      </w:r>
    </w:p>
    <w:p>
      <w:pPr>
        <w:pStyle w:val="ListBullet"/>
      </w:pPr>
      <w:r>
        <w:t xml:space="preserve">On a network the organization does not manage (home Wi-Fi, public Wi-Fi, a hotspot), access to internal systems goes over the approved connection methods the Information Security Lead designates (for example the organization's VPN, which is a protected connection back to the organization's network), as the Access Control Policy requires. Ordinary, non-administrative sign-in to the organization's cloud services follows that policy's normal rules and does not need the VPN. Administrative interfaces always use the approved connection methods, whether they are internal or cloud-hosted, and administrative work is done from an organization-owned device. That covers a contractor firm's device, so the organization issues one to anyone who administers its systems, including an external provider performing the operational function Section 4.0 describes. </w:t>
      </w:r>
      <w:r>
        <w:rPr>
          <w:highlight w:val="yellow"/>
        </w:rPr>
        <w:t xml:space="preserve">[Where that provider's firm manages its own devices on Section 3.4's terms, the Information Security Lead may accept those devices for administrative work instead, and records what the acceptance checked.]</w:t>
      </w:r>
      <w:r>
        <w:t xml:space="preserve"> The organization treats every network it does not manage as untrusted, and relies on these device and connection requirements to protect access regardless of how a home network is configured.</w:t>
      </w:r>
    </w:p>
    <w:p>
      <w:pPr>
        <w:pStyle w:val="Heading2"/>
      </w:pPr>
      <w:r>
        <w:t xml:space="preserve">3.2 Requirements for Every Device</w:t>
      </w:r>
    </w:p>
    <w:p>
      <w:r>
        <w:t xml:space="preserve">Every device used for business, organization-owned or personal, meets all of the following, and carries the Section 3.3 setup or the Section 3.4 approval, before it first touches organization data. The authenticator-only phone exempted below needs neither the approval nor the enrollment, and meets the rest of this section on the terms its own bullet sets. </w:t>
      </w:r>
      <w:r>
        <w:rPr>
          <w:b/>
        </w:rPr>
        <w:t xml:space="preserve">Device management</w:t>
      </w:r>
      <w:r>
        <w:t xml:space="preserve"> (MDM: the system that applies these settings to a device and reports whether they are still in place) keeps enforcing these requirements afterward; the enrollment requirement below is how a device joins it. Appendix 1 is the checklist used to confirm them, together with the related enrollment checks, and a contractor firm's device instead meets equivalent controls under Section 3.4. Where a device is not plainly a laptop, desktop, phone, or tablet, the Information Security Lead decides which of those types the requirements below treat it as, and records the decision.</w:t>
      </w:r>
    </w:p>
    <w:p>
      <w:r>
        <w:t xml:space="preserve">Devices already in use when this policy takes effect are brought under these requirements within </w:t>
      </w:r>
      <w:r>
        <w:rPr>
          <w:highlight w:val="yellow"/>
        </w:rPr>
        <w:t xml:space="preserve">[30 days]</w:t>
      </w:r>
      <w:r>
        <w:t xml:space="preserve"> of the effective date (keep this window matched to the Acceptable Use Policy). During that window, and only for those devices, the holder checks the settings the device itself shows (encryption, screen lock, updates, firewall) against Appendix 1 and records the result on the checklist, which IT or security operations confirm at enrollment. A device that is not enrolled by the end of the window loses access to organization data. A device that comes into use after the effective date meets them before first use. </w:t>
      </w:r>
      <w:r>
        <w:rPr>
          <w:highlight w:val="yellow"/>
        </w:rPr>
        <w:t xml:space="preserve">[Where the organization has no device management system yet, the Information Security Lead records one exception under Section 6.0 covering the devices in use, sets the date the system will be in place, and has IT or security operations confirm Appendix 1 by hand until then.]</w:t>
      </w:r>
    </w:p>
    <w:p>
      <w:pPr>
        <w:pStyle w:val="ListBullet"/>
      </w:pPr>
      <w:r>
        <w:rPr>
          <w:b/>
        </w:rPr>
        <w:t>Full-disk encryption</w:t>
      </w:r>
      <w:r>
        <w:t xml:space="preserve"> is on: everything the device stores is unreadable to anyone who cannot unlock it. Encryption protects the data on a lost or stolen device, and it also decides how the device can be retired: the Data Handling Policy allows disposal by destroying the encryption key, on conditions that include encryption having been on from first use.</w:t>
      </w:r>
    </w:p>
    <w:p>
      <w:pPr>
        <w:pStyle w:val="ListBullet"/>
      </w:pPr>
      <w:r>
        <w:t xml:space="preserve">Work is saved to the organization's systems rather than only on the device, so that replacing, removing, or erasing a device loses no organization information. Where a role has to hold organization information only on the device, the Information Security Lead records the arrangement and how that information is backed up.</w:t>
      </w:r>
    </w:p>
    <w:p>
      <w:pPr>
        <w:pStyle w:val="ListBullet"/>
      </w:pPr>
      <w:r>
        <w:t xml:space="preserve">The screen locks automatically after at most </w:t>
      </w:r>
      <w:r>
        <w:rPr>
          <w:highlight w:val="yellow"/>
        </w:rPr>
        <w:t xml:space="preserve">[15 minutes]</w:t>
      </w:r>
      <w:r>
        <w:t xml:space="preserve"> idle on a laptop or desktop and </w:t>
      </w:r>
      <w:r>
        <w:rPr>
          <w:highlight w:val="yellow"/>
        </w:rPr>
        <w:t xml:space="preserve">[2 minutes]</w:t>
      </w:r>
      <w:r>
        <w:t xml:space="preserve"> on a phone or tablet. Unlocking requires a password of at least </w:t>
      </w:r>
      <w:r>
        <w:rPr>
          <w:highlight w:val="yellow"/>
        </w:rPr>
        <w:t xml:space="preserve">[15 characters]</w:t>
      </w:r>
      <w:r>
        <w:t xml:space="preserve">, or a PIN (a numeric unlock code) of at least </w:t>
      </w:r>
      <w:r>
        <w:rPr>
          <w:highlight w:val="yellow"/>
        </w:rPr>
        <w:t xml:space="preserve">[6 digits]</w:t>
      </w:r>
      <w:r>
        <w:t xml:space="preserve"> where the PIN is local to that device, the device's security chip checks it and counts the failed attempts, and the PIN unlocks a credential that chip holds instead of standing in for the account password.</w:t>
      </w:r>
    </w:p>
    <w:p>
      <w:pPr>
        <w:pStyle w:val="ListBullet"/>
      </w:pPr>
      <w:r>
        <w:t xml:space="preserve">Phones and tablets meet the PIN conditions above as they ship. A laptop or desktop does so only through the platform's hardware-backed sign-in; where the security chip only counts attempts against the account password, that account password still meets the full length above, and never less than the Access Control Policy's minimum for a password used as the only factor. A fingerprint or face unlock (a biometric) may be used in place of typing it, and the password or PIN stays set behind the biometric.</w:t>
      </w:r>
    </w:p>
    <w:p>
      <w:pPr>
        <w:pStyle w:val="ListBullet"/>
      </w:pPr>
      <w:r>
        <w:t xml:space="preserve">Features that unlock the device, or keep it unlocked, without the password or PIN above are turned off. That covers staying unlocked at a saved location, near a paired device, or while the device is carried, and unlocking from a paired device.</w:t>
      </w:r>
    </w:p>
    <w:p>
      <w:pPr>
        <w:pStyle w:val="ListBullet"/>
      </w:pPr>
      <w:r>
        <w:t xml:space="preserve">The locked screen shows no content from work mail, messages, or calendar, and no authentication code or approval prompt: notifications arrive without the content, or not at all. Device management sets this where the platform supports it, and the holder sets it where it does not. </w:t>
      </w:r>
      <w:r>
        <w:rPr>
          <w:highlight w:val="yellow"/>
        </w:rPr>
        <w:t xml:space="preserve">[Keep the locked-screen rule above matched to the Acceptable Use Policy.]</w:t>
      </w:r>
    </w:p>
    <w:p>
      <w:pPr>
        <w:pStyle w:val="ListBullet"/>
      </w:pPr>
      <w:r>
        <w:t xml:space="preserve">After </w:t>
      </w:r>
      <w:r>
        <w:rPr>
          <w:highlight w:val="yellow"/>
        </w:rPr>
        <w:t xml:space="preserve">[10 failed attempts]</w:t>
      </w:r>
      <w:r>
        <w:t xml:space="preserve"> the device locks out or erases. Where the platform can limit that to the walled-off work area (a </w:t>
      </w:r>
      <w:r>
        <w:rPr>
          <w:b/>
        </w:rPr>
        <w:t xml:space="preserve">work profile</w:t>
      </w:r>
      <w:r>
        <w:t xml:space="preserve">, in the term some platforms use) or the managed work apps, the organization sets it there. Where the platform's only setting reaches the whole device, the organization sets it on an organization-owned device and leaves it unset on a personal one, and the Section 3.4 acknowledgment tells the owner what the device does at its own built-in limit. Where a platform cannot meet a value above, the gap is handled through the exception process (see Section 6.0), which records what the platform can do, the temporary safeguards, and when the exception expires.</w:t>
      </w:r>
    </w:p>
    <w:p>
      <w:pPr>
        <w:pStyle w:val="ListBullet"/>
      </w:pPr>
      <w:r>
        <w:t xml:space="preserve">The operating system and business applications are supported versions that still receive security updates. Updates install automatically, or the organization installs them on a managed schedule. No security update remains uninstalled beyond the Acceptable Use Policy's </w:t>
      </w:r>
      <w:r>
        <w:rPr>
          <w:highlight w:val="yellow"/>
        </w:rPr>
        <w:t xml:space="preserve">[14-day]</w:t>
      </w:r>
      <w:r>
        <w:t xml:space="preserve"> limit, or its </w:t>
      </w:r>
      <w:r>
        <w:rPr>
          <w:highlight w:val="yellow"/>
        </w:rPr>
        <w:t xml:space="preserve">[3-day]</w:t>
      </w:r>
      <w:r>
        <w:t xml:space="preserve"> limit for an update that fixes a weakness attackers are already using (keep these values matched to that policy).</w:t>
      </w:r>
    </w:p>
    <w:p>
      <w:pPr>
        <w:pStyle w:val="ListBullet"/>
      </w:pPr>
      <w:r>
        <w:t>The security software the organization designates to detect malware and attacks (</w:t>
      </w:r>
      <w:r>
        <w:rPr>
          <w:b/>
        </w:rPr>
        <w:t>endpoint protection</w:t>
      </w:r>
      <w:r>
        <w:t>) is installed and checking in on every laptop and desktop, and on phones and tablets where the Information Security Lead's standards require it.</w:t>
      </w:r>
    </w:p>
    <w:p>
      <w:pPr>
        <w:pStyle w:val="ListBullet"/>
      </w:pPr>
      <w:r>
        <w:t>The device's built-in firewall (the filter that blocks unsolicited incoming connections) is turned on, on every laptop and desktop.</w:t>
      </w:r>
    </w:p>
    <w:p>
      <w:pPr>
        <w:pStyle w:val="ListBullet"/>
      </w:pPr>
      <w:r>
        <w:t xml:space="preserve">Apps that hold or reach organization data are installed from the platform's official app store or from the organization's own managed app catalog, and installation from other sources (sideloading) is switched off. On an organization-owned device that setting covers the whole device; on a personal device it covers the walled-off work area or the managed work apps, and the owner's own apps stay the owner's. Device management enforces this where the platform supports it, and the holder leaves the setting off where it does not. Where a role needs an app from another source, the Information Security Lead approves it in writing and records what the app does.</w:t>
      </w:r>
    </w:p>
    <w:p>
      <w:pPr>
        <w:pStyle w:val="ListBullet"/>
      </w:pPr>
      <w:r>
        <w:t xml:space="preserve">On a phone or tablet, the device uses the keyboard the operating system supplies. A replacement keyboard can see what is typed into ordinary fields, one-time codes included, and can send it off the device once the holder grants the extra permission it asks for. Some platforms keep it away from password fields and block its network access until then, and others do not. One is installed only where the Information Security Lead approves it in writing.</w:t>
      </w:r>
    </w:p>
    <w:p>
      <w:pPr>
        <w:pStyle w:val="ListBullet"/>
      </w:pPr>
      <w:r>
        <w:rPr>
          <w:highlight w:val="yellow"/>
        </w:rPr>
        <w:t xml:space="preserve">[Operating system features that capture or index screen content, such as a timeline of screenshots, are turned off on every device used for business. Where a role needs one, the Information Security Lead approves it in writing, records which information it may capture, and confirms it is excluded from any personal device. Device management enforces the setting where the platform supports it, and the holder turns it off where it does not.]</w:t>
      </w:r>
    </w:p>
    <w:p>
      <w:pPr>
        <w:pStyle w:val="ListBullet"/>
      </w:pPr>
      <w:r>
        <w:t>The device is enrolled in the organization's device management: enrollment installs a management profile that lets the organization protect and, if needed, remove its own data. A platform that the organization's device management cannot manage is not used for business at all: it does not access, store, or process organization data. The Information Security Lead decides whether a platform can be managed.</w:t>
      </w:r>
    </w:p>
    <w:p>
      <w:pPr>
        <w:pStyle w:val="ListBullet"/>
      </w:pPr>
      <w:r>
        <w:t xml:space="preserve">A personal phone that runs only an authenticator app, and holds no organization mail, files, or chat, does not need enrolling, and the platform rule above does not exclude it. It still meets every requirement in this section except enrollment, the device management enforcement that depends on it, endpoint protection, which the organization cannot install on an unenrolled phone, and the failed-attempt limit, which the organization cannot set.</w:t>
      </w:r>
    </w:p>
    <w:p>
      <w:pPr>
        <w:pStyle w:val="ListBullet"/>
      </w:pPr>
      <w:r>
        <w:t xml:space="preserve">On that phone, apps are installed only from the platform's app store, and installation from other sources is switched off. The platform's find-my-device service is switched on, so it can be located, locked, and erased if it is lost. Its loss is reported under Section 3.7, and the holder tells IT or security operations once the erase or lock has gone through.</w:t>
      </w:r>
    </w:p>
    <w:p>
      <w:pPr>
        <w:pStyle w:val="ListBullet"/>
      </w:pPr>
      <w:r>
        <w:t xml:space="preserve">Since the phone is not enrolled, the holder records what the phone does at its own built-in failed-attempt limit and attests in writing that it is unmodified, that it carries no certificates or management profiles beyond the platform's own, and that it meets the other requirements in this section. Both happen before the authenticator is registered. IT or security operations keep that attestation, with a record of the phone and its holder, alongside the device inventory.</w:t>
      </w:r>
    </w:p>
    <w:p>
      <w:pPr>
        <w:pStyle w:val="ListBullet"/>
      </w:pPr>
      <w:r>
        <w:t xml:space="preserve">Adding any other organization account, mail, chat, or file to the phone makes it a personal device under Section 3.4, and it is approved and enrolled before that access. </w:t>
      </w:r>
      <w:r>
        <w:rPr>
          <w:highlight w:val="yellow"/>
        </w:rPr>
        <w:t xml:space="preserve">[Keep this exemption matched to the Acceptable Use Policy.]</w:t>
      </w:r>
    </w:p>
    <w:p>
      <w:pPr>
        <w:pStyle w:val="ListBullet"/>
      </w:pPr>
      <w:r>
        <w:t xml:space="preserve">A device whose manufacturer security controls have been removed or bypassed (jailbroken or rooted) is not eligible. Device management blocks it where the platform reports device integrity, and the Information Security Lead records which platforms in use give that signal and which do not. On a platform that gives none, the holder attests at enrollment that the device is unmodified, and the ban still applies.</w:t>
      </w:r>
    </w:p>
    <w:p>
      <w:pPr>
        <w:pStyle w:val="ListBullet"/>
      </w:pPr>
      <w:r>
        <w:t xml:space="preserve">Beyond what the platform ships with, the device trusts only the certificates and management profiles the organization installed. A certificate someone else installs can let them read traffic the device treats as protected, and a second management profile gives whoever installed it the control the organization's own profile has; what each platform allows differs.</w:t>
      </w:r>
    </w:p>
    <w:p>
      <w:pPr>
        <w:pStyle w:val="ListBullet"/>
      </w:pPr>
      <w:r>
        <w:t xml:space="preserve">Device management reports the certificates and profiles on a device where the platform supports it, and IT or security operations remove any the organization did not install. Where the platform reports neither, the holder attests at enrollment that the device carries no others, and the rule still applies. On a device that keeps a walled-off work area, this covers what the work area trusts and any profile that reaches the whole device; the personal side stays the owner's.</w:t>
      </w:r>
    </w:p>
    <w:p>
      <w:pPr>
        <w:pStyle w:val="ListBullet"/>
      </w:pPr>
      <w:r>
        <w:t xml:space="preserve">Anyone asked to install a certificate or a profile, by a web page, a message, or a network they are joining, declines and reports it (Section 7.0). </w:t>
      </w:r>
      <w:r>
        <w:rPr>
          <w:highlight w:val="yellow"/>
        </w:rPr>
        <w:t xml:space="preserve">[Keep this rule matched to the Acceptable Use Policy.]</w:t>
      </w:r>
    </w:p>
    <w:p>
      <w:pPr>
        <w:pStyle w:val="ListBullet"/>
      </w:pPr>
      <w:r>
        <w:t xml:space="preserve">A device that stops meeting these requirements loses access to organization data until it is brought back into compliance. Device management enforces this automatically where the platform supports it, and IT or security operations contact the holder. Where the platform cannot enforce this automatically, IT or security operations review device compliance on a set schedule </w:t>
      </w:r>
      <w:r>
        <w:rPr>
          <w:highlight w:val="yellow"/>
        </w:rPr>
        <w:t>[at least monthly]</w:t>
      </w:r>
      <w:r>
        <w:t xml:space="preserve"> and remove access by hand.</w:t>
      </w:r>
    </w:p>
    <w:p>
      <w:pPr>
        <w:pStyle w:val="Heading2"/>
      </w:pPr>
      <w:r>
        <w:t xml:space="preserve">3.3 Organization-Owned Devices</w:t>
      </w:r>
    </w:p>
    <w:p>
      <w:pPr>
        <w:pStyle w:val="ListBullet"/>
      </w:pPr>
      <w:r>
        <w:t xml:space="preserve">IT or security operations set up every organization-owned device to a documented baseline (Section 3.2 plus the Information Security Lead's technical standards) before handing it over, and keep an inventory of the devices and who holds each one. That device inventory is a separate record from the asset inventory the Information Security Policy requires. The asset inventory lists each device as an asset; this one records who holds it and keeps its Appendix 1 checklist.</w:t>
      </w:r>
    </w:p>
    <w:p>
      <w:pPr>
        <w:pStyle w:val="ListBullet"/>
      </w:pPr>
      <w:r>
        <w:t xml:space="preserve">Baseline settings and security tools stay as they were set. The Acceptable Use Policy makes disabling or bypassing them a violation; under this policy, IT or security operations restore them and find out why they were off.</w:t>
      </w:r>
    </w:p>
    <w:p>
      <w:pPr>
        <w:pStyle w:val="ListBullet"/>
      </w:pPr>
      <w:r>
        <w:t xml:space="preserve">Where the Acceptable Use Policy permits occasional personal use of an organization-owned device, that use follows its personal-use rules. That policy's ownership and monitoring notice applies across the whole device: monitoring can capture personal use, and the organization still does not claim personal content. The organization does not turn on a device's camera or microphone to watch or listen to someone in their home, their vehicle, or anywhere else on their property. Some laws allow this only where the job itself requires it, and giving notice does not lift that limit.</w:t>
      </w:r>
    </w:p>
    <w:p>
      <w:pPr>
        <w:pStyle w:val="ListBullet"/>
      </w:pPr>
      <w:r>
        <w:t xml:space="preserve">Where device management can report an organization-owned device's location, the organization looks it up only to respond to a reported loss or theft, and records each lookup, as Section 3.4 provides for a personal device. The Acceptable Use Policy's monitoring notice names location among what the organization can see on a device it manages.</w:t>
      </w:r>
    </w:p>
    <w:p>
      <w:pPr>
        <w:pStyle w:val="Heading2"/>
      </w:pPr>
      <w:r>
        <w:t xml:space="preserve">3.4 Personal and Contractor Devices</w:t>
      </w:r>
    </w:p>
    <w:p>
      <w:r>
        <w:t xml:space="preserve">Using a personal device for business (bring your own device, or BYOD) is a permission the organization grants, and it carries obligations on both sides. The Acceptable Use Policy holds the person's obligations; the rules below are the organization's.</w:t>
      </w:r>
    </w:p>
    <w:p>
      <w:pPr>
        <w:pStyle w:val="ListBullet"/>
      </w:pPr>
      <w:r>
        <w:t>A personal device is approved for business use only after it meets Section 3.2; IT or security operations grant the approval after verifying Appendix 1, and record it with the device inventory. When the device holder is the person who grants approvals, a manager or Executive Management (the organization's senior leadership, as the Information Security Policy defines it) confirms Appendix 1 and records the approval instead. Enrollment in device management comes before the first access, as the Acceptable Use Policy requires of the person. On a personal device, app-level management (management of the work apps and their data without enrolling the whole device) satisfies enrollment where the organization's platform provides it; references to the management profile then mean that app-level management.</w:t>
      </w:r>
    </w:p>
    <w:p>
      <w:pPr>
        <w:pStyle w:val="ListBullet"/>
      </w:pPr>
      <w:r>
        <w:t xml:space="preserve">Wherever the platform supports it, the organization keeps its data in a walled-off work area on the device, so that management, monitoring, and removal reach the organization's data, accounts, and management profile, and not personal content. Where the platform separates nothing, what the organization can see and remove is wider, and the acknowledgment below says so for that platform.</w:t>
      </w:r>
    </w:p>
    <w:p>
      <w:pPr>
        <w:pStyle w:val="ListBullet"/>
      </w:pPr>
      <w:r>
        <w:t xml:space="preserve">Organization data on a personal device stays out of personal cloud backup services and off any personal computer the device is plugged into; device management enforces this where the platform supports it, and the holder turns those backups off for the work apps where it does not, as the Acceptable Use Policy requires.</w:t>
      </w:r>
    </w:p>
    <w:p>
      <w:pPr>
        <w:pStyle w:val="ListBullet"/>
      </w:pPr>
      <w:r>
        <w:t xml:space="preserve">On a personal device the owner keeps the full-disk recovery key, and the organization holds no copy, so it relies on removing its own data rather than on destroying that key when approval ends. </w:t>
      </w:r>
      <w:r>
        <w:rPr>
          <w:highlight w:val="yellow"/>
        </w:rPr>
        <w:t xml:space="preserve">[Where the organization escrows the key instead, the acknowledgment says so, and says that the key opens the whole device.]</w:t>
      </w:r>
    </w:p>
    <w:p>
      <w:pPr>
        <w:pStyle w:val="ListBullet"/>
      </w:pPr>
      <w:r>
        <w:rPr>
          <w:highlight w:val="yellow"/>
        </w:rPr>
        <w:t xml:space="preserve">[On a platform that offers neither a work profile nor management of the work apps alone, personal-device access is limited to browser access with file download, sync, and print blocked, and the Information Security Lead records which of Section 3.2's requirements such a device still meets, since it stores no organization data. Enrollment still applies: the limit sets what the device may reach, and leaves Section 3.2's enrollment requirement in place.]</w:t>
      </w:r>
      <w:r>
        <w:t xml:space="preserve"> </w:t>
      </w:r>
      <w:r>
        <w:rPr>
          <w:highlight w:val="yellow"/>
        </w:rPr>
        <w:t xml:space="preserve">[Keep either the limit above or the full-wipe sentence in the second bullet below (from "A full-device wipe happens"), and not both. Keep the Acceptable Use Policy's Section 3.14 full-wipe paragraph matched to this choice.]</w:t>
      </w:r>
    </w:p>
    <w:p>
      <w:pPr>
        <w:pStyle w:val="ListBullet"/>
      </w:pPr>
      <w:r>
        <w:rPr>
          <w:highlight w:val="yellow"/>
        </w:rPr>
        <w:t xml:space="preserve">[Email, calendar, chat, and everyday documents]</w:t>
      </w:r>
      <w:r>
        <w:t xml:space="preserve"> are eligible on approved personal devices. </w:t>
      </w:r>
      <w:r>
        <w:rPr>
          <w:highlight w:val="yellow"/>
        </w:rPr>
        <w:t xml:space="preserve">[Confidential information is eligible only inside the walled-off work area or the managed work apps, where the device keeps no copy the organization cannot remove.]</w:t>
      </w:r>
      <w:r>
        <w:t xml:space="preserve"> </w:t>
      </w:r>
      <w:r>
        <w:rPr>
          <w:highlight w:val="yellow"/>
        </w:rPr>
        <w:t xml:space="preserve">[Confidential information requires an organization-owned device whatever the platform.]</w:t>
      </w:r>
      <w:r>
        <w:t xml:space="preserve"> </w:t>
      </w:r>
      <w:r>
        <w:rPr>
          <w:highlight w:val="yellow"/>
        </w:rPr>
        <w:t xml:space="preserve">[Where a platform offers neither form of separation, Confidential information requires an organization-owned device.]</w:t>
      </w:r>
      <w:r>
        <w:t xml:space="preserve"> </w:t>
      </w:r>
      <w:r>
        <w:rPr>
          <w:highlight w:val="yellow"/>
        </w:rPr>
        <w:t xml:space="preserve">[Keep one of the two sentences above that begin "Confidential information", and delete the other. The sentence beginning "Where a platform offers neither" goes with the first of them, and is deleted with the second.]</w:t>
      </w:r>
      <w:r>
        <w:t xml:space="preserve"> Information keeps the classification the Data Handling Policy gives it however it arrives, and the Information Security Lead resolves borderline cases. Confidential material that arrives unrequested on a personal device is not the recipient's violation. Where this policy does not allow it there, do not save it locally, handle it from an organization-owned device, and remove any local copy.</w:t>
      </w:r>
    </w:p>
    <w:p>
      <w:pPr>
        <w:pStyle w:val="ListBullet"/>
      </w:pPr>
      <w:r>
        <w:t xml:space="preserve">If an enrolled personal device is reported lost, the organization locks the walled-off work area or the managed work apps and removes its own data where needed (Section 3.7). </w:t>
      </w:r>
      <w:r>
        <w:rPr>
          <w:highlight w:val="yellow"/>
        </w:rPr>
        <w:t xml:space="preserve">[A full-device wipe happens in only two cases: the owner asks for one, or the platform offered neither a work profile nor management of the work apps alone to separate the data, and the owner agreed at enrollment that a loss, or the removal when approval ends, could mean a full wipe.]</w:t>
      </w:r>
    </w:p>
    <w:p>
      <w:pPr>
        <w:pStyle w:val="ListBullet"/>
      </w:pPr>
      <w:r>
        <w:t xml:space="preserve">Enrollment is recorded in a signed acknowledgment kept with the inventory record. The acknowledgment states what the organization can and cannot see on the device, including whether and when its location is visible, and who holds the device's full-disk recovery key. It also states what the device does at its own built-in failed-attempt limit where Section 3.2 leaves that limit unset, the protection that applies on that platform (the work-profile separation, app-level management, and the browser-only limit or the full-wipe condition, whichever this policy sets), the owner's responsibility for backing up personal content, and the removal that happens when approval ends (this section and the Acceptable Use Policy).</w:t>
      </w:r>
    </w:p>
    <w:p>
      <w:pPr>
        <w:pStyle w:val="ListBullet"/>
      </w:pPr>
      <w:r>
        <w:t xml:space="preserve">The device's location is looked up only to respond to a reported loss or theft. Each lookup is recorded. The organization does not turn on the device's camera or microphone to watch or listen to someone in their home, their vehicle, or anywhere else on their property.</w:t>
      </w:r>
    </w:p>
    <w:p>
      <w:pPr>
        <w:pStyle w:val="ListBullet"/>
      </w:pPr>
      <w:r>
        <w:t xml:space="preserve">Where local law adds requirements on workplace monitoring, such as written notice, a posted notice, or consultation with employee representatives, the organization meets them before monitoring begins and again on the schedule that law sets, as the Acceptable Use Policy provides. </w:t>
      </w:r>
      <w:r>
        <w:rPr>
          <w:highlight w:val="yellow"/>
        </w:rPr>
        <w:t xml:space="preserve">[This policy requires the acknowledgment but does not supply its text. Have counsel draft or review the form before the first enrollment: it covers visibility into a personal device and, on some platforms, a full wipe. Ask which local monitoring requirements apply and when, since some fall due when a person is hired rather than when they enroll a device. Ask what local law says about watching a residence, since some rules bar audiovisual monitoring in someone's home, personal vehicle, or on their property unless the job requires it. Ask as well what applies where the organization's own systems would handle a biometric, rather than leaving it in the device's security chip as Section 3.2 assumes.]</w:t>
      </w:r>
    </w:p>
    <w:p>
      <w:pPr>
        <w:pStyle w:val="ListBullet"/>
      </w:pPr>
      <w:r>
        <w:t>When approval ends because the person leaves or the device is replaced, IT or security operations remove the organization's data, accounts, and management profile, or verify that they are removed, before access ends. On a departure the removal happens no later than the last working day, as the Acceptable Use Policy provides. Where a legal hold under the Data Handling Policy covers information the device may hold, IT or security operations preserve that information first, and record what was preserved. The removal then proceeds. Where a departure is abrupt and access stops at once under the Access Control Policy, the removal follows immediately instead. Where the removal capability was disabled, access stops at once and the removal follows immediately, as the Acceptable Use Policy also provides. Where remote removal is no longer possible, access stops at once, and what the device held is assessed under the Incident Response Policy.</w:t>
      </w:r>
    </w:p>
    <w:p>
      <w:pPr>
        <w:pStyle w:val="ListBullet"/>
      </w:pPr>
      <w:r>
        <w:t xml:space="preserve">Using a personal device is voluntary: anyone may decline, and declining is never a ground for discipline. Where the role's work requires a device, the organization provides an organization-owned one. The organization </w:t>
      </w:r>
      <w:r>
        <w:rPr>
          <w:highlight w:val="yellow"/>
        </w:rPr>
        <w:t xml:space="preserve">[reimburses a reasonable share of the device's service costs and of any equipment the work requires]</w:t>
      </w:r>
      <w:r>
        <w:t xml:space="preserve"> for business use of a personal device, and in any case reimburses where the law requires (in some states, including California and Illinois, reimbursement is mandatory). </w:t>
      </w:r>
      <w:r>
        <w:rPr>
          <w:highlight w:val="yellow"/>
        </w:rPr>
        <w:t xml:space="preserve">[Set this share with advice where your people work. Name every cost the work makes necessary, since the laws that require reimbursement reach every necessary expense. Some states require reimbursement, and some measure what is owed against the employer's own written policy, which this sentence becomes; a policy that reimburses nothing, or a token amount, does not get that benefit.]</w:t>
      </w:r>
      <w:r>
        <w:t xml:space="preserve"> </w:t>
      </w:r>
      <w:r>
        <w:rPr>
          <w:highlight w:val="yellow"/>
        </w:rPr>
        <w:t xml:space="preserve">[Keep these sentences matched to the Acceptable Use Policy.]</w:t>
      </w:r>
    </w:p>
    <w:p>
      <w:pPr>
        <w:pStyle w:val="ListBullet"/>
      </w:pPr>
      <w:r>
        <w:t xml:space="preserve">A device owned and managed by a contractor's own firm is neither organization-owned nor personal. It may be accepted where the contract governing the engagement requires controls equivalent to Section 3.2 (the firm's own device management standing in for the organization's), the firm attests to those controls in writing, and the contract requires return or destruction of organization data when the engagement ends. IT or security operations accept the device, keep the firm's written attestation with the device inventory record, and confirm it again at the re-assessment the Vendor Risk Management Policy sets for that vendor. Otherwise, the contractor uses an organization-owned device. For contractors and other third parties, this policy binds through that contract (the Vendor Risk Management Policy governs the firm itself).</w:t>
      </w:r>
    </w:p>
    <w:p>
      <w:pPr>
        <w:pStyle w:val="ListBullet"/>
      </w:pPr>
      <w:r>
        <w:rPr>
          <w:highlight w:val="yellow"/>
        </w:rPr>
        <w:t>[Where the Information Security Lead approves, access through the organization's virtual desktop or secure browser service, set up so it leaves no organization data on the device, may replace enrollment, the enrollment acknowledgment, and the enrollment lines of Appendix 1 for personal and contractor devices (including Section 3.2's rule that an unmanageable platform is not used). The service's own controls then stand in for Section 3.2 on that device, and the Information Security Lead's approval of the service records which Section 3.2 requirements the service covers and which the device still meets (for example, the screen lock). The rest of this policy still applies.]</w:t>
      </w:r>
      <w:r>
        <w:t xml:space="preserve"> </w:t>
      </w:r>
      <w:r>
        <w:rPr>
          <w:highlight w:val="yellow"/>
        </w:rPr>
        <w:t xml:space="preserve">[If you keep the option above, keep the matching sentence in the Acceptable Use Policy's enrollment rule; if you delete it, delete that sentence there too.]</w:t>
      </w:r>
    </w:p>
    <w:p>
      <w:pPr>
        <w:pStyle w:val="Heading2"/>
      </w:pPr>
      <w:r>
        <w:t xml:space="preserve">3.5 Removable Media</w:t>
      </w:r>
    </w:p>
    <w:p>
      <w:pPr>
        <w:pStyle w:val="ListBullet"/>
      </w:pPr>
      <w:r>
        <w:t xml:space="preserve">Removable media (USB drives, external disks, memory cards) is organization-approved and encrypted to the Encryption Policy's standard before it first holds organization information, as the Acceptable Use Policy requires. Whoever writes the data confirms the encryption. Copying Confidential information to removable media, approved media included, needs approval first, under that policy.</w:t>
      </w:r>
    </w:p>
    <w:p>
      <w:pPr>
        <w:pStyle w:val="ListBullet"/>
      </w:pPr>
      <w:r>
        <w:t xml:space="preserve">Taking removable media off the organization's premises needs the facility owner's approval (the person the organization makes accountable for the site), and that person records what left, who has it, and when it comes back, under the Physical and Environmental Security Policy. That policy exempts devices carried for ordinary work; this policy makes no such exemption for removable media. Where the organization has no premises, the same approval and record apply when the media is issued. Media holding Confidential information is tracked: security operations keeps an inventory of the approved media in circulation and who holds each item, as the Data Handling Policy requires. That policy also governs how media is erased so the data cannot be recovered (sanitized), or destroyed, before disposal or reuse, and sets the stricter method for media that held Confidential information.</w:t>
      </w:r>
    </w:p>
    <w:p>
      <w:pPr>
        <w:pStyle w:val="ListBullet"/>
      </w:pPr>
      <w:r>
        <w:t xml:space="preserve">Use the organization's approved sharing channels instead of removable media whenever they can do the job, since a USB drive or memory card is easily lost.</w:t>
      </w:r>
    </w:p>
    <w:p>
      <w:pPr>
        <w:pStyle w:val="Heading2"/>
      </w:pPr>
      <w:r>
        <w:t xml:space="preserve">3.6 Travel and Public Places</w:t>
      </w:r>
    </w:p>
    <w:p>
      <w:pPr>
        <w:pStyle w:val="ListBullet"/>
      </w:pPr>
      <w:r>
        <w:t xml:space="preserve">Keep devices with you or locked away. Never leave one visible in a vehicle, packed in checked luggage, or unattended in public.</w:t>
      </w:r>
    </w:p>
    <w:p>
      <w:pPr>
        <w:pStyle w:val="ListBullet"/>
      </w:pPr>
      <w:r>
        <w:t xml:space="preserve">Position screens away from anyone not authorized for the information, and take sensitive calls where they cannot be overheard, at home as much as in public, including by a smart speaker or another device that listens. When screen sharing, show only the window the work needs rather than the whole desktop. </w:t>
      </w:r>
      <w:r>
        <w:rPr>
          <w:highlight w:val="yellow"/>
        </w:rPr>
        <w:t xml:space="preserve">[Keep these rules matched to the Acceptable Use Policy.]</w:t>
      </w:r>
      <w:r>
        <w:t xml:space="preserve"> Where a role regularly handles Confidential information in public, IT or security operations provide a privacy screen, and the screen is used for that work.</w:t>
      </w:r>
    </w:p>
    <w:p>
      <w:pPr>
        <w:pStyle w:val="ListBullet"/>
      </w:pPr>
      <w:r>
        <w:t xml:space="preserve">Printing organization information outside the office is limited to </w:t>
      </w:r>
      <w:r>
        <w:rPr>
          <w:highlight w:val="yellow"/>
        </w:rPr>
        <w:t xml:space="preserve">[what the work requires]</w:t>
      </w:r>
      <w:r>
        <w:t xml:space="preserve">. </w:t>
      </w:r>
      <w:r>
        <w:rPr>
          <w:highlight w:val="yellow"/>
        </w:rPr>
        <w:t xml:space="preserve">[Confidential information is not printed outside the office at all.]</w:t>
      </w:r>
      <w:r>
        <w:t xml:space="preserve"> Printed material is kept out of sight and cross-cut shredded or returned to the office for disposal. Confidential papers in a home or other remote workspace are stored and destroyed under the Physical and Environmental Security Policy, whether they were carried from the office or printed there.</w:t>
      </w:r>
    </w:p>
    <w:p>
      <w:pPr>
        <w:pStyle w:val="ListBullet"/>
      </w:pPr>
      <w:r>
        <w:t xml:space="preserve">For travel to, or any work performed in, </w:t>
      </w:r>
      <w:r>
        <w:rPr>
          <w:highlight w:val="yellow"/>
        </w:rPr>
        <w:t>[high-risk destinations the Information Security Lead designates]</w:t>
      </w:r>
      <w:r>
        <w:t xml:space="preserve">, the organization issues a loaner device carrying only what the trip needs. A contractor travelling to such a destination takes a loaner too, and the engagement contract requires their firm's device to stay behind. </w:t>
      </w:r>
      <w:r>
        <w:rPr>
          <w:highlight w:val="yellow"/>
        </w:rPr>
        <w:t xml:space="preserve">[Where the Lead has not yet designated any, set the first list before the next trip.]</w:t>
      </w:r>
    </w:p>
    <w:p>
      <w:pPr>
        <w:pStyle w:val="ListBullet"/>
      </w:pPr>
      <w:r>
        <w:t xml:space="preserve">Before the trip: the traveler's usual organization devices stay home, and organization access from their personal devices, and from any contractor firm's device they hold, is suspended for the trip. Where a personal phone is exempt under Section 3.2 and carries only an authenticator, IT or security operations remove its registration from the account for the trip. IT or security operations give the traveler a second factor that does not depend on a suspended device: a registration on the loaner, or a separate hardware authenticator issued for the trip.</w:t>
      </w:r>
    </w:p>
    <w:p>
      <w:pPr>
        <w:pStyle w:val="ListBullet"/>
      </w:pPr>
      <w:r>
        <w:t xml:space="preserve">On return: the loaner is treated as untrusted, so IT or security operations move anything the trip produced off it through an approved channel and sanitize the device under the Data Handling Policy before reuse. Whether or not anything was reported during the trip, they revoke the traveler's sessions and tokens, remove the trip's second factor from the account, take back any hardware authenticator issued for the trip, and restore access from a personal device that stayed home. The traveler changes any password they used on the loaner, and IT or security operations replace any key that was on it. A personal device, or a contractor firm's device, that the traveler took to the destination is reported under Section 3.7 as possibly compromised; access is restored when that assessment allows it and IT or security operations have confirmed Appendix 1 again, and an exempt phone's authenticator is registered again only on a fresh attestation under Section 3.2.</w:t>
      </w:r>
    </w:p>
    <w:p>
      <w:pPr>
        <w:pStyle w:val="ListBullet"/>
      </w:pPr>
      <w:r>
        <w:t xml:space="preserve">If a border or government authority compels access to a device, comply as needed for your safety and lawful passage, then report it immediately as a suspected compromise (Section 3.7); complying is never a policy violation. Where the device may hold legally privileged material or a customer's confidential information, say so to the authority, and tell the Information Security Lead the same day so the organization can take legal advice and notify whoever the information belongs to.</w:t>
      </w:r>
    </w:p>
    <w:p>
      <w:pPr>
        <w:pStyle w:val="Heading2"/>
      </w:pPr>
      <w:r>
        <w:t xml:space="preserve">3.7 Lost, Stolen, or Compromised Devices</w:t>
      </w:r>
    </w:p>
    <w:p>
      <w:pPr>
        <w:pStyle w:val="ListBullet"/>
      </w:pPr>
      <w:r>
        <w:t xml:space="preserve">Report a lost, stolen, or possibly compromised device immediately (Section 7.0), whether it is organization-owned, a personal device used for business, a contractor firm's device, or a personal phone that carries an authenticator app; the Acceptable Use Policy requires the same of every lost or stolen device.</w:t>
      </w:r>
    </w:p>
    <w:p>
      <w:pPr>
        <w:pStyle w:val="ListBullet"/>
      </w:pPr>
      <w:r>
        <w:t xml:space="preserve">On a report, IT or security operations act without waiting for certainty: lock the device (on a personal device, its walled-off work area or its managed work apps) remotely, remove the organization's data where needed (within Section 3.4's rules for a personal device), and revoke the device's saved sign-ins (its sessions, tokens, and credentials). They confirm from the management console that the lock and the removal reached the device, and record the result. Native remote lock and wipe reach a device only when it is powered on and connected, so a command still unconfirmed after </w:t>
      </w:r>
      <w:r>
        <w:rPr>
          <w:highlight w:val="yellow"/>
        </w:rPr>
        <w:t xml:space="preserve">[24 hours]</w:t>
      </w:r>
      <w:r>
        <w:t xml:space="preserve"> counts as not carried out.</w:t>
      </w:r>
    </w:p>
    <w:p>
      <w:pPr>
        <w:pStyle w:val="ListBullet"/>
      </w:pPr>
      <w:r>
        <w:t xml:space="preserve">On a contractor firm's device, which the organization's device management does not reach, they revoke the saved sign-ins at once, and the firm carries out the lock and the removal under the engagement contract.</w:t>
      </w:r>
    </w:p>
    <w:p>
      <w:pPr>
        <w:pStyle w:val="ListBullet"/>
      </w:pPr>
      <w:r>
        <w:t xml:space="preserve">A personal phone exempt under Section 3.2 is not enrolled, so none of the above reaches it. IT or security operations remove its authenticator registration from the account and revoke the person's active sessions and tokens at once, as the Access Control Policy requires, and tell the holder to erase or lock the phone through the platform's own find-my-device service. The holder tells IT or security operations once that has gone through.</w:t>
      </w:r>
    </w:p>
    <w:p>
      <w:pPr>
        <w:pStyle w:val="ListBullet"/>
      </w:pPr>
      <w:r>
        <w:t xml:space="preserve">Whatever the device held is treated as reachable by whoever has it, until the assessment in the last bullet of this section says otherwise. A suspected-compromised device that is still in hand is isolated and preserved under the Incident Response Policy's evidence rules; on a personal device the organization asks the owner and records the answer. It is not wiped, and the lock and removal above wait until the evidence work is done. Revoking its saved sign-ins still happens at once.</w:t>
      </w:r>
    </w:p>
    <w:p>
      <w:pPr>
        <w:pStyle w:val="ListBullet"/>
      </w:pPr>
      <w:r>
        <w:t xml:space="preserve">A device recovered after being reported lost or stolen goes to IT or security operations before it is used for organization work again. They treat it as untrusted: anything on it the organization needs moves off through an approved channel, and they confirm Appendix 1 again before it holds organization data. An organization-owned device is rebuilt or sanitized under the Data Handling Policy first. On a personal device they re-enroll it within Section 3.4's rules, and resetting the device is the owner's decision. Where the assessment needs the device as evidence, the Incident Response Policy's evidence rules come first.</w:t>
      </w:r>
    </w:p>
    <w:p>
      <w:pPr>
        <w:pStyle w:val="ListBullet"/>
      </w:pPr>
      <w:r>
        <w:t xml:space="preserve">The incident is assessed under the Incident Response Policy, using the classification of the information the device could reach.</w:t>
      </w:r>
    </w:p>
    <w:p>
      <w:pPr>
        <w:pStyle w:val="Heading2"/>
      </w:pPr>
      <w:r>
        <w:t xml:space="preserve">3.8 Leaving and Changing Devices</w:t>
      </w:r>
    </w:p>
    <w:p>
      <w:pPr>
        <w:pStyle w:val="ListBullet"/>
      </w:pPr>
      <w:r>
        <w:t xml:space="preserve">When someone leaves, the Access Control Policy's leaver process removes their access, and the organization's data is removed from any approved personal device before access ends and no later than the last working day, or immediately after where the departure is abrupt (Section 3.4).</w:t>
      </w:r>
    </w:p>
    <w:p>
      <w:pPr>
        <w:pStyle w:val="ListBullet"/>
      </w:pPr>
      <w:r>
        <w:t xml:space="preserve">Where an organization-owned device is not returned by the last working day the Acceptable Use Policy sets, IT or security operations lock it and remove the organization's data remotely, revoke its saved sign-ins, and record what the device held. The Information Security Lead decides whether it is reported under the Incident Response Policy. Recovering the device itself follows the organization's employment policies or the engagement contract.</w:t>
      </w:r>
    </w:p>
    <w:p>
      <w:pPr>
        <w:pStyle w:val="ListBullet"/>
      </w:pPr>
      <w:r>
        <w:t xml:space="preserve">Where the person held a personal phone exempt under Section 3.2, IT or security operations remove its authenticator registration from the account and close that phone's record, which they keep alongside the device inventory (Section 3.2).</w:t>
      </w:r>
    </w:p>
    <w:p>
      <w:pPr>
        <w:pStyle w:val="ListBullet"/>
      </w:pPr>
      <w:r>
        <w:t>When an organization-owned device is reassigned or retired, it returns to IT and is sanitized under the Data Handling Policy before reuse, resale, donation, or disposal. A device or drive sent to a vendor for repair or replacement is sanitized first, under that policy's same rules. A failed drive that cannot be wiped, and was not encrypted from first use, is destroyed rather than returned, as that policy provides.</w:t>
      </w:r>
    </w:p>
    <w:p>
      <w:pPr>
        <w:pStyle w:val="ListBullet"/>
      </w:pPr>
      <w:r>
        <w:t xml:space="preserve">Approval attaches to each device individually: a replacement personal device is enrolled before it gets access, and the old one has the organization's data removed when its approval ends.</w:t>
      </w:r>
    </w:p>
    <w:p>
      <w:pPr>
        <w:pStyle w:val="ListBullet"/>
      </w:pPr>
      <w:r>
        <w:t xml:space="preserve">Before an approved personal device goes to anyone outside the organization for repair, resale, trade-in, or disposal, the holder tells IT or security operations, as the Acceptable Use Policy requires, and the organization removes its data first. Where the device cannot be presented, its approval ends and Section 3.7 applies.</w:t>
      </w:r>
    </w:p>
    <w:p>
      <w:pPr>
        <w:pStyle w:val="Heading1"/>
      </w:pPr>
      <w:r>
        <w:t xml:space="preserve">4.0 Roles and Responsibilities</w:t>
      </w:r>
    </w:p>
    <w:p>
      <w:pPr>
        <w:pStyle w:val="ListBullet"/>
      </w:pPr>
      <w:r>
        <w:rPr>
          <w:b/>
        </w:rPr>
        <w:t>The Information Security Lead</w:t>
      </w:r>
      <w:r>
        <w:t xml:space="preserve"> owns this policy, keeps it current, and sets the technical standards that implement it: the device management tooling (configured so what the organization can see matches what Section 3.4 promises), the approved connection methods, and the endpoint protection standard.</w:t>
      </w:r>
    </w:p>
    <w:p>
      <w:pPr>
        <w:pStyle w:val="ListBullet"/>
      </w:pPr>
      <w:r>
        <w:rPr>
          <w:b/>
        </w:rPr>
        <w:t>The Information Security Lead</w:t>
      </w:r>
      <w:r>
        <w:t xml:space="preserve"> approves any replacement keyboard on a phone or tablet, and any app from a source other than the platform's app store or the organization's own catalog (Section 3.2), </w:t>
      </w:r>
      <w:r>
        <w:rPr>
          <w:highlight w:val="yellow"/>
        </w:rPr>
        <w:t xml:space="preserve">[decides the treatment of operating system features that capture or index screen content, where Section 3.2 keeps that rule,]</w:t>
      </w:r>
      <w:r>
        <w:t xml:space="preserve"> and sets the high-risk travel list</w:t>
      </w:r>
      <w:r>
        <w:rPr>
          <w:highlight w:val="yellow"/>
        </w:rPr>
        <w:t xml:space="preserve">[, and approves the virtual desktop alternative, where Section 3.4 keeps that option]</w:t>
      </w:r>
      <w:r>
        <w:t xml:space="preserve">. The Lead also approves work from another country before it starts and before any extension, recording what that approval checked (Section 3.1)</w:t>
      </w:r>
      <w:r>
        <w:rPr>
          <w:highlight w:val="yellow"/>
        </w:rPr>
        <w:t xml:space="preserve">[, and accepts a contractor firm's device for administrative work, where Section 3.1 keeps that option, recording what the acceptance checked]</w:t>
      </w:r>
      <w:r>
        <w:t xml:space="preserve">.</w:t>
      </w:r>
    </w:p>
    <w:p>
      <w:pPr>
        <w:pStyle w:val="ListBullet"/>
      </w:pPr>
      <w:r>
        <w:rPr>
          <w:b/>
        </w:rPr>
        <w:t>The Information Security Lead</w:t>
      </w:r>
      <w:r>
        <w:t xml:space="preserve"> decides whether a platform can be managed and which type an unusual device counts as, records which platforms report device integrity (Section 3.2), and resolves borderline classification calls (Section 3.4)</w:t>
      </w:r>
      <w:r>
        <w:rPr>
          <w:highlight w:val="yellow"/>
        </w:rPr>
        <w:t xml:space="preserve">[, and records which of Section 3.2's requirements a device limited to browser access still meets, where Section 3.4 sets that limit]</w:t>
      </w:r>
      <w:r>
        <w:t xml:space="preserve">. The Lead records a role's arrangement to hold organization information only on a device (Section 3.2), and decides whether an organization-owned device that was not returned is reported under the Incident Response Policy (Section 3.8). </w:t>
      </w:r>
      <w:r>
        <w:rPr>
          <w:highlight w:val="yellow"/>
        </w:rPr>
        <w:t xml:space="preserve">[Where the organization has no device management system yet, the Lead records the exception Section 3.2 requires and sets the date the system will be in place.]</w:t>
      </w:r>
    </w:p>
    <w:p>
      <w:pPr>
        <w:pStyle w:val="ListBullet"/>
      </w:pPr>
      <w:r>
        <w:rPr>
          <w:b/>
        </w:rPr>
        <w:t>The Information Security Lead</w:t>
      </w:r>
      <w:r>
        <w:t xml:space="preserve"> watches vendor advisories and the published lists of vulnerabilities known to be actively exploited for the software on user devices, and tells holders when an update fixes one; that notice starts the shorter limit Section 3.2 sets for such an update. The Lead proposes the Section 3.4 division between what personal devices may hold and what requires an organization-owned device, and changes to it follow Section 5.0. Questions about what this policy allows go to the Information Security Lead.</w:t>
      </w:r>
    </w:p>
    <w:p>
      <w:pPr>
        <w:pStyle w:val="ListBullet"/>
      </w:pPr>
      <w:r>
        <w:rPr>
          <w:b/>
        </w:rPr>
        <w:t>IT or security operations</w:t>
      </w:r>
      <w:r>
        <w:t xml:space="preserve"> (an internal team or a qualified service provider; in a small organization the Information Security Lead performs both) set up and inventory organization-owned devices, approve and enroll personal devices (verifying Appendix 1, and recording the approval and the enrollment acknowledgment), accept contractor firm devices and keep their attestations (Section 3.4), and keep device management enforcing Section 3.2. Where it cannot enforce a requirement, they review device compliance on the schedule Section 3.2 sets and remove access by hand. They issue loaner devices and privacy screens, provide the trip's second factor, and suspend personal-device access for high-risk travel (Section 3.6); respond to lost-device reports and confirm that each lock and removal reached the device (Section 3.7); carry out removals when approval or employment ends; and keep the completed Appendix 1 checklists, the enrollment acknowledgments and attestations, and the record of each location lookup with the device inventory record, for the period the Data Handling Policy's retention schedule sets.</w:t>
      </w:r>
    </w:p>
    <w:p>
      <w:pPr>
        <w:pStyle w:val="ListBullet"/>
      </w:pPr>
      <w:r>
        <w:rPr>
          <w:b/>
        </w:rPr>
        <w:t>Managers</w:t>
      </w:r>
      <w:r>
        <w:t xml:space="preserve"> decide, under the organization's employment policies and applicable law, whether a role's work can be done remotely, and approve the arrangements. They do not approve devices, which follow Sections 3.2 to 3.4, except in the self-approval case Section 3.4 names.</w:t>
      </w:r>
    </w:p>
    <w:p>
      <w:pPr>
        <w:pStyle w:val="ListBullet"/>
      </w:pPr>
      <w:r>
        <w:rPr>
          <w:b/>
        </w:rPr>
        <w:t>Everyone</w:t>
      </w:r>
      <w:r>
        <w:t xml:space="preserve"> follows this policy alongside their Acceptable Use Policy duties, and reports losses, theft, and suspected compromise immediately (Section 7.0). They give the attestations Section 3.2 requires and set the parts of it the platform leaves to the holder. Everyone who works remotely or uses a device for business reads and acknowledges this policy, on the schedule the Information Security Policy sets.</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 xml:space="preserve">Immediately report lost or stolen devices and suspected compromise of any device used for business. Promptly report unapproved devices or connections in business use, and other security concerns. Use the incident reporting contacts kept in the Information Security Policy (its Appendix 1). A report to any manager counts; the manager passes it to those contacts. A concern that involves the Information Security Lead, or anyone named in those contacts other than Executive Management, goes instead to Executive Management. A concern that involves Executive Management goes to the Board of Directors or the owners. A manager who receives either kind of report passes it on. </w:t>
      </w:r>
      <w:r>
        <w:rPr>
          <w:highlight w:val="yellow"/>
        </w:rPr>
        <w:t xml:space="preserve">[Where there is no Board and no separate owner, name here the outside contact the Information Security Policy records for these reports.]</w:t>
      </w:r>
      <w:r>
        <w:t xml:space="preserve">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Acceptable Use Policy: the personal duties of everyone who uses a device, namely enrollment, updates, careful use, and reporting a loss.</w:t>
      </w:r>
    </w:p>
    <w:p>
      <w:pPr>
        <w:pStyle w:val="ListBullet"/>
      </w:pPr>
      <w:r>
        <w:t xml:space="preserve">The Access Control Policy: accounts, multi-factor authentication or MFA, and the remote access this policy's connection rules rely on. Its password rules govern signing in to systems and services; Section 3.2 governs unlocking the device.</w:t>
      </w:r>
    </w:p>
    <w:p>
      <w:pPr>
        <w:pStyle w:val="ListBullet"/>
      </w:pPr>
      <w:r>
        <w:t xml:space="preserve">The Data Handling Policy: what may be stored where, and how devices and media are sanitized.</w:t>
      </w:r>
    </w:p>
    <w:p>
      <w:pPr>
        <w:pStyle w:val="ListBullet"/>
      </w:pPr>
      <w:r>
        <w:t xml:space="preserve">The Incident Response Policy: what happens after a device is reported lost or compromised.</w:t>
      </w:r>
    </w:p>
    <w:p>
      <w:pPr>
        <w:pStyle w:val="ListBullet"/>
      </w:pPr>
      <w:r>
        <w:t xml:space="preserve">The Logging and Monitoring Policy: it governs the monitoring the device management in this policy performs, and takes device management events as a log source.</w:t>
      </w:r>
    </w:p>
    <w:p>
      <w:pPr>
        <w:pStyle w:val="ListBullet"/>
      </w:pPr>
      <w:r>
        <w:t xml:space="preserve">The Vendor Risk Management Policy: the firms whose devices Section 3.4 accepts by contract.</w:t>
      </w:r>
    </w:p>
    <w:p>
      <w:pPr>
        <w:pStyle w:val="ListBullet"/>
      </w:pPr>
      <w:r>
        <w:t xml:space="preserve">The Vulnerability Management Policy: this policy carries the update rules for user devices; that policy covers the systems the organization runs.</w:t>
      </w:r>
    </w:p>
    <w:p>
      <w:pPr>
        <w:pStyle w:val="ListBullet"/>
      </w:pPr>
      <w:r>
        <w:t xml:space="preserve">The Change Management Policy: user devices sit outside its change process, under this policy.</w:t>
      </w:r>
    </w:p>
    <w:p>
      <w:pPr>
        <w:pStyle w:val="ListBullet"/>
      </w:pPr>
      <w:r>
        <w:t xml:space="preserve">The Encryption Policy: it sets the standard for the full-disk encryption and the removable-media encryption this policy requires.</w:t>
      </w:r>
    </w:p>
    <w:p>
      <w:pPr>
        <w:pStyle w:val="ListBullet"/>
      </w:pPr>
      <w:r>
        <w:t xml:space="preserve">The Business Continuity &amp; Disaster Recovery Plan: remote work is its fallback when a site is lost.</w:t>
      </w:r>
    </w:p>
    <w:p>
      <w:pPr>
        <w:pStyle w:val="ListBullet"/>
      </w:pPr>
      <w:r>
        <w:t xml:space="preserve">The Physical and Environmental Security Policy: it physically protects the devices and media this policy governs away from the premises.</w:t>
      </w:r>
    </w:p>
    <w:p>
      <w:r>
        <w:t xml:space="preserve">Where any of these does not exist yet, treat it as a roadmap item; the rules in this policy apply on their own regardless.</w:t>
      </w:r>
    </w:p>
    <w:p>
      <w:r>
        <w:t xml:space="preserve">At a policy level, these rules put into practice ten controls of ISO/IEC 27001:2022 Annex A: control 5.9 (inventory of information and other associated assets, for the device inventory in Section 3.3), control 6.7 (remote working), control 7.7 (clear desk and clear screen, for the screen and printed-material rules in Section 3.6), control 7.9 (security of assets off-premises), control 7.10 (storage media, for Section 3.5), control 8.1 (user end point devices), control 8.7 (protection against malware, for the endpoint protection Section 3.2 requires), control 8.8 (management of technical vulnerabilities, for the update rules Section 3.2 sets for user devices; the Vulnerability Management Policy carries that control for the systems the organization runs), control 8.9 (configuration management, for the documented baseline in Section 3.3), and control 8.19 (installation of software on operational systems, for the app-source rule in Section 3.2).</w:t>
      </w:r>
    </w:p>
    <w:p>
      <w:r>
        <w:t xml:space="preserve">They support the Protect function of the NIST Cybersecurity Framework 2.0, in particular its Platform Security (PR.PS) and Data Security (PR.DS) categories, the first of which covers the retirement rules in Section 3.8, and two categories of its Identify function: Asset Management (ID.AM), for the device inventory in Section 3.3 and the media rules in Section 3.5, and Risk Assessment (ID.RA), for the unpatched and misconfigured software the device management and the review in Section 3.2 find. Through the removal at departure in Section 3.8, they also support its Govern outcome that cybersecurity is included in human resources practices (GV.RR-04). For phones and tablets, this policy draws on NIST Special Publication (SP) 800-124 Revision 2, Guidelines for Managing the Security of Mobile Devices in the Enterprise; that publication covers phones, tablets, and other devices running a mobile operating system, and excludes laptops from its scope.</w:t>
      </w:r>
    </w:p>
    <w:p>
      <w:pPr>
        <w:pStyle w:val="Heading1"/>
        <w:pageBreakBefore/>
      </w:pPr>
      <w:r>
        <w:t xml:space="preserve">Appendix 1: Device Readiness Checklist</w:t>
      </w:r>
    </w:p>
    <w:p>
      <w:r>
        <w:t xml:space="preserve">IT or security operations confirm every line before an organization-owned or personal device first touches organization data (Section 4.0). For a device already in use when this policy takes effect, that confirmation happens at enrollment within the window Section 3.2 sets. In the Section 3.4 self-approval case, the confirmer that section names does it. A contractor firm's device is covered by its written attestation instead (Section 3.4), and a personal phone exempt under Section 3.2 by the holder's attestation under that section. Device management keeps enforcing the settings afterward. Keep the completed checklist, and for a personal device the signed enrollment acknowledgment, with the device inventory record. Where the management system reports a check automatically, its compliance record satisfies that line. Where Section 3.4 allows app-level management, the confirmer records which lines the management system can verify and how the holder shows the rest.</w:t>
      </w:r>
    </w:p>
    <w:tbl>
      <w:tblPr>
        <w:tblStyle w:val="TableGrid"/>
        <w:tblW w:type="auto" w:w="0"/>
        <w:tblLook w:firstColumn="1" w:firstRow="1" w:lastColumn="0" w:lastRow="0" w:noHBand="0" w:noVBand="1" w:val="04A0"/>
      </w:tblPr>
      <w:tblGrid>
        <w:gridCol w:w="4680"/>
        <w:gridCol w:w="3960"/>
        <w:gridCol w:w="2160"/>
      </w:tblGrid>
      <w:tr>
        <w:trPr>
          <w:cantSplit/>
          <w:tblHeader/>
        </w:trPr>
        <w:tc>
          <w:tcPr>
            <w:tcW w:type="dxa" w:w="4680"/>
          </w:tcPr>
          <w:p>
            <w:pPr>
              <w:pageBreakBefore/>
            </w:pPr>
            <w:r>
              <w:rPr>
                <w:b/>
              </w:rPr>
              <w:t xml:space="preserve">Check</w:t>
            </w:r>
          </w:p>
        </w:tc>
        <w:tc>
          <w:tcPr>
            <w:tcW w:type="dxa" w:w="3960"/>
          </w:tcPr>
          <w:p>
            <w:r>
              <w:rPr>
                <w:b/>
              </w:rPr>
              <w:t xml:space="preserve">How to confirm</w:t>
            </w:r>
          </w:p>
        </w:tc>
        <w:tc>
          <w:tcPr>
            <w:tcW w:type="dxa" w:w="2160"/>
          </w:tcPr>
          <w:p>
            <w:r>
              <w:rPr>
                <w:b/>
              </w:rPr>
              <w:t xml:space="preserve">Confirmed (date, by)</w:t>
            </w:r>
          </w:p>
        </w:tc>
      </w:tr>
      <w:tr>
        <w:trPr>
          <w:cantSplit/>
          <w:trHeight w:hRule="atLeast" w:val="576"/>
        </w:trPr>
        <w:tc>
          <w:tcPr>
            <w:tcW w:type="dxa" w:w="4680"/>
          </w:tcPr>
          <w:p>
            <w:r>
              <w:t xml:space="preserve">Device identified: make and model or asset tag, holder, organization-owned or personal</w:t>
            </w:r>
          </w:p>
        </w:tc>
        <w:tc>
          <w:tcPr>
            <w:tcW w:type="dxa" w:w="3960"/>
          </w:tcPr>
          <w:p>
            <w:r>
              <w:rPr>
                <w:highlight w:val="yellow"/>
              </w:rPr>
              <w:t xml:space="preserve">[Recorded here and in the device inventory]</w:t>
            </w:r>
          </w:p>
        </w:tc>
        <w:tc>
          <w:tcPr>
            <w:tcW w:type="dxa" w:w="2160"/>
          </w:tcPr>
          <w:p/>
        </w:tc>
      </w:tr>
      <w:tr>
        <w:trPr>
          <w:cantSplit/>
          <w:trHeight w:hRule="atLeast" w:val="576"/>
        </w:trPr>
        <w:tc>
          <w:tcPr>
            <w:tcW w:type="dxa" w:w="4680"/>
          </w:tcPr>
          <w:p>
            <w:r>
              <w:t xml:space="preserve">Full-disk encryption on</w:t>
            </w:r>
          </w:p>
        </w:tc>
        <w:tc>
          <w:tcPr>
            <w:tcW w:type="dxa" w:w="3960"/>
          </w:tcPr>
          <w:p>
            <w:r>
              <w:rPr>
                <w:highlight w:val="yellow"/>
              </w:rPr>
              <w:t xml:space="preserve">[The device's built-in full-disk encryption shows enabled]</w:t>
            </w:r>
          </w:p>
        </w:tc>
        <w:tc>
          <w:tcPr>
            <w:tcW w:type="dxa" w:w="2160"/>
          </w:tcPr>
          <w:p/>
        </w:tc>
      </w:tr>
      <w:tr>
        <w:trPr>
          <w:cantSplit/>
          <w:trHeight w:hRule="atLeast" w:val="576"/>
        </w:trPr>
        <w:tc>
          <w:tcPr>
            <w:tcW w:type="dxa" w:w="4680"/>
          </w:tcPr>
          <w:p>
            <w:r>
              <w:t xml:space="preserve">Screen lock set to the values in Section 3.2: time to lock, password or PIN length, biometric optional, the failed-attempt limit set as that section allows for this platform, the unlock and stay-unlocked features in that section off (saved location, paired device, carried, and unlocking from a paired device), and locked-screen notifications showing no message content, code, or approval prompt</w:t>
            </w:r>
          </w:p>
        </w:tc>
        <w:tc>
          <w:tcPr>
            <w:tcW w:type="dxa" w:w="3960"/>
          </w:tcPr>
          <w:p>
            <w:r>
              <w:rPr>
                <w:highlight w:val="yellow"/>
              </w:rPr>
              <w:t xml:space="preserve">[Device settings; confirm the time from last use to locked, not the display's idle timeout alone]</w:t>
            </w:r>
          </w:p>
        </w:tc>
        <w:tc>
          <w:tcPr>
            <w:tcW w:type="dxa" w:w="2160"/>
          </w:tcPr>
          <w:p/>
        </w:tc>
      </w:tr>
      <w:tr>
        <w:trPr>
          <w:cantSplit/>
          <w:trHeight w:hRule="atLeast" w:val="576"/>
        </w:trPr>
        <w:tc>
          <w:tcPr>
            <w:tcW w:type="dxa" w:w="4680"/>
          </w:tcPr>
          <w:p>
            <w:r>
              <w:t xml:space="preserve">Operating system and business applications supported; automatic updates on</w:t>
            </w:r>
          </w:p>
        </w:tc>
        <w:tc>
          <w:tcPr>
            <w:tcW w:type="dxa" w:w="3960"/>
          </w:tcPr>
          <w:p>
            <w:r>
              <w:rPr>
                <w:highlight w:val="yellow"/>
              </w:rPr>
              <w:t xml:space="preserve">[Versions against the vendors' supported lists; update setting]</w:t>
            </w:r>
          </w:p>
        </w:tc>
        <w:tc>
          <w:tcPr>
            <w:tcW w:type="dxa" w:w="2160"/>
          </w:tcPr>
          <w:p/>
        </w:tc>
      </w:tr>
      <w:tr>
        <w:trPr>
          <w:cantSplit/>
          <w:trHeight w:hRule="atLeast" w:val="576"/>
        </w:trPr>
        <w:tc>
          <w:tcPr>
            <w:tcW w:type="dxa" w:w="4680"/>
          </w:tcPr>
          <w:p>
            <w:r>
              <w:t xml:space="preserve">Endpoint protection installed and reporting (where required)</w:t>
            </w:r>
          </w:p>
        </w:tc>
        <w:tc>
          <w:tcPr>
            <w:tcW w:type="dxa" w:w="3960"/>
          </w:tcPr>
          <w:p>
            <w:r>
              <w:rPr>
                <w:highlight w:val="yellow"/>
              </w:rPr>
              <w:t xml:space="preserve">[Console shows the device checking in]</w:t>
            </w:r>
          </w:p>
        </w:tc>
        <w:tc>
          <w:tcPr>
            <w:tcW w:type="dxa" w:w="2160"/>
          </w:tcPr>
          <w:p/>
        </w:tc>
      </w:tr>
      <w:tr>
        <w:trPr>
          <w:cantSplit/>
          <w:trHeight w:hRule="atLeast" w:val="576"/>
        </w:trPr>
        <w:tc>
          <w:tcPr>
            <w:tcW w:type="dxa" w:w="4680"/>
          </w:tcPr>
          <w:p>
            <w:r>
              <w:t xml:space="preserve">Built-in firewall on (laptop or desktop)</w:t>
            </w:r>
          </w:p>
        </w:tc>
        <w:tc>
          <w:tcPr>
            <w:tcW w:type="dxa" w:w="3960"/>
          </w:tcPr>
          <w:p>
            <w:r>
              <w:rPr>
                <w:highlight w:val="yellow"/>
              </w:rPr>
              <w:t xml:space="preserve">[Firewall setting shows enabled]</w:t>
            </w:r>
          </w:p>
        </w:tc>
        <w:tc>
          <w:tcPr>
            <w:tcW w:type="dxa" w:w="2160"/>
          </w:tcPr>
          <w:p/>
        </w:tc>
      </w:tr>
      <w:tr>
        <w:trPr>
          <w:cantSplit/>
          <w:trHeight w:hRule="atLeast" w:val="576"/>
        </w:trPr>
        <w:tc>
          <w:tcPr>
            <w:tcW w:type="dxa" w:w="4680"/>
          </w:tcPr>
          <w:p>
            <w:r>
              <w:t xml:space="preserve">Apps installed only from the platform's app store or the organization's catalog; other sources off</w:t>
            </w:r>
          </w:p>
        </w:tc>
        <w:tc>
          <w:tcPr>
            <w:tcW w:type="dxa" w:w="3960"/>
          </w:tcPr>
          <w:p>
            <w:r>
              <w:rPr>
                <w:highlight w:val="yellow"/>
              </w:rPr>
              <w:t xml:space="preserve">[Management console or device setting; any approval on file]</w:t>
            </w:r>
          </w:p>
        </w:tc>
        <w:tc>
          <w:tcPr>
            <w:tcW w:type="dxa" w:w="2160"/>
          </w:tcPr>
          <w:p/>
        </w:tc>
      </w:tr>
      <w:tr>
        <w:trPr>
          <w:cantSplit/>
          <w:trHeight w:hRule="atLeast" w:val="576"/>
        </w:trPr>
        <w:tc>
          <w:tcPr>
            <w:tcW w:type="dxa" w:w="4680"/>
          </w:tcPr>
          <w:p>
            <w:r>
              <w:t xml:space="preserve">Phone or tablet: no replacement keyboard installed, or one the Information Security Lead approved in writing</w:t>
            </w:r>
          </w:p>
        </w:tc>
        <w:tc>
          <w:tcPr>
            <w:tcW w:type="dxa" w:w="3960"/>
          </w:tcPr>
          <w:p>
            <w:r>
              <w:rPr>
                <w:highlight w:val="yellow"/>
              </w:rPr>
              <w:t xml:space="preserve">[Installed apps, or the management console list of input methods]</w:t>
            </w:r>
          </w:p>
        </w:tc>
        <w:tc>
          <w:tcPr>
            <w:tcW w:type="dxa" w:w="2160"/>
          </w:tcPr>
          <w:p/>
        </w:tc>
      </w:tr>
      <w:tr>
        <w:trPr>
          <w:cantSplit/>
          <w:trHeight w:hRule="atLeast" w:val="576"/>
        </w:trPr>
        <w:tc>
          <w:tcPr>
            <w:tcW w:type="dxa" w:w="4680"/>
          </w:tcPr>
          <w:p>
            <w:r>
              <w:rPr>
                <w:highlight w:val="yellow"/>
              </w:rPr>
              <w:t xml:space="preserve">[Screen capture and indexing features off, where Section 3.2 keeps that rule]</w:t>
            </w:r>
          </w:p>
        </w:tc>
        <w:tc>
          <w:tcPr>
            <w:tcW w:type="dxa" w:w="3960"/>
          </w:tcPr>
          <w:p>
            <w:r>
              <w:rPr>
                <w:highlight w:val="yellow"/>
              </w:rPr>
              <w:t xml:space="preserve">[Device settings, or the management console where it enforces the setting]</w:t>
            </w:r>
          </w:p>
        </w:tc>
        <w:tc>
          <w:tcPr>
            <w:tcW w:type="dxa" w:w="2160"/>
          </w:tcPr>
          <w:p/>
        </w:tc>
      </w:tr>
      <w:tr>
        <w:trPr>
          <w:cantSplit/>
          <w:trHeight w:hRule="atLeast" w:val="576"/>
        </w:trPr>
        <w:tc>
          <w:tcPr>
            <w:tcW w:type="dxa" w:w="4680"/>
          </w:tcPr>
          <w:p>
            <w:r>
              <w:t xml:space="preserve">Enrolled in device management; on a personal device, work profile in place where the platform supports it (app-level management counts where Section 3.4 allows it)</w:t>
            </w:r>
          </w:p>
        </w:tc>
        <w:tc>
          <w:tcPr>
            <w:tcW w:type="dxa" w:w="3960"/>
          </w:tcPr>
          <w:p>
            <w:r>
              <w:rPr>
                <w:highlight w:val="yellow"/>
              </w:rPr>
              <w:t xml:space="preserve">[Management console shows the device compliant]</w:t>
            </w:r>
          </w:p>
        </w:tc>
        <w:tc>
          <w:tcPr>
            <w:tcW w:type="dxa" w:w="2160"/>
          </w:tcPr>
          <w:p/>
        </w:tc>
      </w:tr>
      <w:tr>
        <w:trPr>
          <w:cantSplit/>
          <w:trHeight w:hRule="atLeast" w:val="576"/>
        </w:trPr>
        <w:tc>
          <w:tcPr>
            <w:tcW w:type="dxa" w:w="4680"/>
          </w:tcPr>
          <w:p>
            <w:r>
              <w:t xml:space="preserve">Device integrity: not jailbroken or rooted</w:t>
            </w:r>
          </w:p>
        </w:tc>
        <w:tc>
          <w:tcPr>
            <w:tcW w:type="dxa" w:w="3960"/>
          </w:tcPr>
          <w:p>
            <w:r>
              <w:rPr>
                <w:highlight w:val="yellow"/>
              </w:rPr>
              <w:t xml:space="preserve">[Management console integrity status, where the platform reports one; otherwise the holder's attestation at enrollment]</w:t>
            </w:r>
          </w:p>
        </w:tc>
        <w:tc>
          <w:tcPr>
            <w:tcW w:type="dxa" w:w="2160"/>
          </w:tcPr>
          <w:p/>
        </w:tc>
      </w:tr>
      <w:tr>
        <w:trPr>
          <w:cantSplit/>
          <w:trHeight w:hRule="atLeast" w:val="576"/>
        </w:trPr>
        <w:tc>
          <w:tcPr>
            <w:tcW w:type="dxa" w:w="4680"/>
          </w:tcPr>
          <w:p>
            <w:r>
              <w:t xml:space="preserve">No certificates or management profiles beyond the platform's own and the organization's</w:t>
            </w:r>
          </w:p>
        </w:tc>
        <w:tc>
          <w:tcPr>
            <w:tcW w:type="dxa" w:w="3960"/>
          </w:tcPr>
          <w:p>
            <w:r>
              <w:rPr>
                <w:highlight w:val="yellow"/>
              </w:rPr>
              <w:t xml:space="preserve">[Management console profile and certificate list, where the platform reports one; otherwise the device's trusted certificates and profiles screens, read for the work area on a personal device]</w:t>
            </w:r>
          </w:p>
        </w:tc>
        <w:tc>
          <w:tcPr>
            <w:tcW w:type="dxa" w:w="2160"/>
          </w:tcPr>
          <w:p/>
        </w:tc>
      </w:tr>
      <w:tr>
        <w:trPr>
          <w:cantSplit/>
          <w:trHeight w:hRule="atLeast" w:val="576"/>
        </w:trPr>
        <w:tc>
          <w:tcPr>
            <w:tcW w:type="dxa" w:w="4680"/>
          </w:tcPr>
          <w:p>
            <w:r>
              <w:t xml:space="preserve">Removal capability verified</w:t>
            </w:r>
          </w:p>
        </w:tc>
        <w:tc>
          <w:tcPr>
            <w:tcW w:type="dxa" w:w="3960"/>
          </w:tcPr>
          <w:p>
            <w:r>
              <w:rPr>
                <w:highlight w:val="yellow"/>
              </w:rPr>
              <w:t xml:space="preserve">[Test a remote lock, or confirm profile status]</w:t>
            </w:r>
          </w:p>
        </w:tc>
        <w:tc>
          <w:tcPr>
            <w:tcW w:type="dxa" w:w="2160"/>
          </w:tcPr>
          <w:p/>
        </w:tc>
      </w:tr>
      <w:tr>
        <w:trPr>
          <w:cantSplit/>
          <w:trHeight w:hRule="atLeast" w:val="576"/>
        </w:trPr>
        <w:tc>
          <w:tcPr>
            <w:tcW w:type="dxa" w:w="4680"/>
          </w:tcPr>
          <w:p>
            <w:r>
              <w:t>Personal device: enrollment acknowledgment signed (visibility; who holds the full-disk recovery key; the built-in failed-attempt limit; separation, app-level management, and whichever of the browser-only limit or the full-wipe condition Section 3.4 sets; backup responsibility; removal at end of approval)</w:t>
            </w:r>
          </w:p>
        </w:tc>
        <w:tc>
          <w:tcPr>
            <w:tcW w:type="dxa" w:w="3960"/>
          </w:tcPr>
          <w:p>
            <w:r>
              <w:rPr>
                <w:highlight w:val="yellow"/>
              </w:rPr>
              <w:t xml:space="preserve">[Acknowledgment on file, date]</w:t>
            </w:r>
          </w:p>
        </w:tc>
        <w:tc>
          <w:tcPr>
            <w:tcW w:type="dxa" w:w="2160"/>
          </w:tcPr>
          <w:p/>
        </w:tc>
      </w:tr>
      <w:tr>
        <w:trPr>
          <w:cantSplit/>
          <w:trHeight w:hRule="atLeast" w:val="576"/>
        </w:trPr>
        <w:tc>
          <w:tcPr>
            <w:tcW w:type="dxa" w:w="4680"/>
          </w:tcPr>
          <w:p>
            <w:r>
              <w:t xml:space="preserve">The user has acknowledged this policy and the Acceptable Use Policy</w:t>
            </w:r>
          </w:p>
        </w:tc>
        <w:tc>
          <w:tcPr>
            <w:tcW w:type="dxa" w:w="3960"/>
          </w:tcPr>
          <w:p>
            <w:r>
              <w:rPr>
                <w:highlight w:val="yellow"/>
              </w:rPr>
              <w:t xml:space="preserve">[Acknowledgment on file, date]</w:t>
            </w:r>
          </w:p>
        </w:tc>
        <w:tc>
          <w:tcPr>
            <w:tcW w:type="dxa" w:w="2160"/>
          </w:tcPr>
          <w:p/>
        </w:tc>
      </w:tr>
      <w:tr>
        <w:trPr>
          <w:cantSplit/>
          <w:trHeight w:hRule="atLeast" w:val="576"/>
        </w:trPr>
        <w:tc>
          <w:tcPr>
            <w:tcW w:type="dxa" w:w="4680"/>
          </w:tcPr>
          <w:p>
            <w:r>
              <w:t xml:space="preserve">Recorded in the device inventory</w:t>
            </w:r>
          </w:p>
        </w:tc>
        <w:tc>
          <w:tcPr>
            <w:tcW w:type="dxa" w:w="3960"/>
          </w:tcPr>
          <w:p>
            <w:r>
              <w:rPr>
                <w:highlight w:val="yellow"/>
              </w:rPr>
              <w:t xml:space="preserve">[Inventory entry updated]</w:t>
            </w:r>
          </w:p>
        </w:tc>
        <w:tc>
          <w:tcPr>
            <w:tcW w:type="dxa" w:w="2160"/>
          </w:tcP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Remote Work &amp; Mobile Device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11</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3701</Words>
  <Characters>20822</Characters>
  <DocSecurity>0</DocSecurity>
  <Lines>180</Lines>
  <Paragraphs>142</Paragraphs>
  <ScaleCrop>false</ScaleCrop>
  <HeadingPairs>
    <vt:vector size="2" baseType="variant">
      <vt:variant>
        <vt:lpstr>Title</vt:lpstr>
      </vt:variant>
      <vt:variant>
        <vt:i4>1</vt:i4>
      </vt:variant>
    </vt:vector>
  </HeadingPairs>
  <TitlesOfParts>
    <vt:vector size="1" baseType="lpstr">
      <vt:lpstr>Remote Work &amp; Mobile Device Policy</vt:lpstr>
    </vt:vector>
  </TitlesOfParts>
  <Manager/>
  <Company>anoBytes Technology Solutions LLC</Company>
  <LinksUpToDate>false</LinksUpToDate>
  <CharactersWithSpaces>24534</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Remote Work &amp; Mobile Device Policy</dc:title>
  <dc:subject>Remote work &amp; mobile device policy template</dc:subject>
  <dc:creator>Nelson Pereira, anoBytes Technology Solutions LLC</dc:creator>
  <cp:keywords>byod, mdm, work profile, enrollment acknowledgment, organization-owned, device management, device inventory, full-disk encryption, screen lock, pin, failed attempts, locks out, vpn, full-wipe, remotely, suspected compromise, endpoint protection, contractor, built-in firewall, app store, sideloading, browser-only, app-level management, high-risk travel, bring your own device, mfa, second factor, hardware authenticator, personal phone, authenticator app, jailbroken, rooted, attestation, screenshots, removable media, usb drive, loaner device, border, legally privileged, privacy screen, reimbursement, expense, working abroad, country, security chip, hardware-backed sign-in, account password, revoke, sessions and tokens, management console, location lookup, exception process, repair, resale, trade-in, last working day, file download, print blocked, iso/iec 27001, annex a, nist cybersecurity framework, csf, locked screen, notifications, biometric, legal hold, configuration management, technical vulnerabilities, 800-124, laptop, tablet, hotspot, home wi-fi, idle timeout, virtual desktop, asset tag, sanitized, printing, facility owner, find-my-device, vendor advisories, stolen, public wifi, replacement keyboard, smart speaker, screen sharing, recovery key, approval prompt, paired device, acknowledges, voluntary, certificates, management profile, audiovisual, camera or microphone, recovered, not returned, california, illinois, fingerprint, face unlock, lost-device, personal-device</cp:keywords>
  <dc:description>Working away from the office: what a device must meet, how a personal one gets approved, what changes when travelling, and what happens when one is lost.</dc:description>
  <cp:lastModifiedBy/>
  <cp:revision>1</cp:revision>
  <dcterms:created xsi:type="dcterms:W3CDTF">2026-07-16T00:00:00Z</dcterms:created>
  <dcterms:modified xsi:type="dcterms:W3CDTF">2026-09-09T00:00:00Z</dcterms:modified>
  <cp:category>Template</cp:category>
</cp:coreProperties>
</file>