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Secure Development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Secure Development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sets how </w:t>
      </w:r>
      <w:r>
        <w:rPr>
          <w:highlight w:val="yellow"/>
        </w:rPr>
        <w:t xml:space="preserve">[Company Name]</w:t>
      </w:r>
      <w:r>
        <w:t xml:space="preserve"> ("the organization") builds software and systems securely, so that security is designed in from the start. Those practices, from design through release and maintenance, are the </w:t>
      </w:r>
      <w:r>
        <w:rPr>
          <w:b/>
        </w:rPr>
        <w:t xml:space="preserve">secure development life cycle (SDLC)</w:t>
      </w:r>
      <w:r>
        <w:rPr/>
        <w:t xml:space="preserve">.</w:t>
      </w:r>
    </w:p>
    <w:p>
      <w:r>
        <w:t xml:space="preserve">This policy is a supporting policy of the organization's Information Security Policy; Section 9.0 maps the frameworks it puts into practice.</w:t>
      </w:r>
    </w:p>
    <w:p>
      <w:pPr>
        <w:pStyle w:val="Heading1"/>
      </w:pPr>
      <w:r>
        <w:t xml:space="preserve">2.0 Scope</w:t>
      </w:r>
    </w:p>
    <w:p>
      <w:r>
        <w:rPr/>
        <w:t xml:space="preserve">This policy applies whenever software or systems are developed by or for the organization: applications and services, scripts and automation (small programs written to automate a task), infrastructure built as code (IaC: server and cloud setups written as configuration files), and significant customization of purchased software. It also applies to low-code and no-code tools (app and workflow builders that need little or no programming); in this policy, code includes what such a tool builds: a flow, an app, or a workflow definition. Customizing purchased software is significant where the organization adds code, script, or a low-code build of its own to it; setting the options the product already offers is not.</w:t>
      </w:r>
    </w:p>
    <w:p>
      <w:r>
        <w:rPr/>
        <w:t xml:space="preserve">Building a tool or an automation that stores, moves, or protects information the organization is responsible for is development; using a spreadsheet's ordinary functions to calculate is not. When in doubt, treat the work as development. This policy governs everyone who does that work: employees, contractors, and vendors developing for the organization (Section 3.7).</w:t>
      </w:r>
    </w:p>
    <w:p>
      <w:r>
        <w:t xml:space="preserve">In this policy, an </w:t>
      </w:r>
      <w:r>
        <w:rPr>
          <w:b/>
        </w:rPr>
        <w:t xml:space="preserve">application</w:t>
      </w:r>
      <w:r>
        <w:t xml:space="preserve"> is software with its own users or its own callers: it has a front end people use, whether or not they sign in, or an interface other software calls. It counts as an application whether the organization runs it as a service or supplies it to others to run. A page that only shows what the organization publishes, and takes nothing from the visitor, is not an application. A script, a scheduled job, a single automation, and a piece of infrastructure code are not applications, whatever their size. Whoever leads development makes the call, records it with the work, and treats the work as an application when in doubt. The application security baseline and the overdue-finding half of the release gate (Section 3.4) turn on it, and Section 3.4 also applies the baseline to significantly customized purchased software. The written security requirements and the independent design review (Section 3.1) turn on it and on whether the change is significant. Threat modeling (Section 3.1), the component list (Section 3.3), and the separate environment (Section 3.5) reach work that is not an application as well, on the triggers those sections set.</w:t>
      </w:r>
    </w:p>
    <w:p>
      <w:r>
        <w:t xml:space="preserve">Related work follows other policies. Releasing a change to production (the live systems people rely on), including the pipeline (CI/CD: the release path that builds, tests, and deploys changes), follows the Change Management Policy. Fixing vulnerabilities (weaknesses an attacker could use) follows the Vulnerability Management Policy, in the systems the organization runs and in the software it builds; Section 3.8 sets what this policy adds for the software it builds. Access to systems and code follows the Access Control Policy, and the cryptography the software uses follows the Encryption Policy. The machines developers work on follow the Remote Work &amp; Mobile Device Policy; this policy adds what those machines may hold (Section 3.5).</w:t>
      </w:r>
    </w:p>
    <w:p>
      <w:r>
        <w:t xml:space="preserve">An organization that develops nothing today applies three parts of this policy now and the rest from its first script, automation, low-code build, or customization: the acquisition questions (Section 3.1) run inside the Vendor Risk Management Policy's assessment, Section 3.7 governs any development done for the organization by others, and at each annual review under the Information Security Policy the Information Security Lead records whether development has started.</w:t>
      </w:r>
    </w:p>
    <w:p>
      <w:pPr>
        <w:pStyle w:val="Heading1"/>
      </w:pPr>
      <w:r>
        <w:t xml:space="preserve">3.0 Policy Statements</w:t>
      </w:r>
    </w:p>
    <w:p>
      <w:r>
        <w:t xml:space="preserve">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Security from the Start</w:t>
      </w:r>
    </w:p>
    <w:p>
      <w:pPr>
        <w:pStyle w:val="ListBullet"/>
      </w:pPr>
      <w:r>
        <w:rPr/>
        <w:t>Every piece of development work states its security requirements before building starts: what the software must protect, who may use it, and what it must never allow. For an application, the requirements come from the organization's application security baseline (Section 3.4), so no one has to invent them from scratch. For any other work, from a small script to infrastructure built as code, answering those three questions is enough, and no separate record is needed beyond the work's own notes. For an application or a significant change, the requirements are written down with the work, wherever the work itself is tracked: the ticket, the project page, or the code repository (Section 3.6). The work has to meet them.</w:t>
      </w:r>
    </w:p>
    <w:p>
      <w:pPr>
        <w:pStyle w:val="ListBullet"/>
      </w:pPr>
      <w:r>
        <w:rPr/>
        <w:t xml:space="preserve">Before building, the people designing the work ask what could go wrong: who would attack this, what would they be after, and where could it break? That session is </w:t>
      </w:r>
      <w:r>
        <w:rPr>
          <w:b/>
        </w:rPr>
        <w:t xml:space="preserve">threat modeling</w:t>
      </w:r>
      <w:r>
        <w:rPr/>
        <w:t xml:space="preserve">. It is done during design for every new application, for any other new work that stores, moves, or protects Confidential information under the Data Handling Policy, and for a significant change. It is also done for a change that reworks how an existing system handles sign-in, access, or Confidential information under the Data Handling Policy. A whiteboard session is often enough, with more time spent where the system carries more risk. The conclusions are recorded with the work, and one page is acceptable; the answers become security requirements. For an application or a significant change, someone who did not design it reads the design against those requirements before building starts. Where no one else can, the walk-through in Section 3.2 covers the design as well as the code, and the record says so.</w:t>
      </w:r>
    </w:p>
    <w:p>
      <w:pPr>
        <w:pStyle w:val="ListBullet"/>
      </w:pPr>
      <w:r>
        <w:t xml:space="preserve">A change is </w:t>
      </w:r>
      <w:r>
        <w:rPr>
          <w:b/>
        </w:rPr>
        <w:t xml:space="preserve">significant</w:t>
      </w:r>
      <w:r>
        <w:t xml:space="preserve"> when it alters what the software must protect, who may use it, or what it must never allow: new data stored, new users or roles, a new integration (a connection to another system), or new internet exposure. Whoever leads development makes the call; when in doubt, treat the change as significant. Where Executive Management (the organization's senior leadership, as the Information Security Policy defines it) keeps a written definition of a significant change under that policy, a change that meets either that definition or the criteria above is significant. </w:t>
      </w:r>
      <w:r>
        <w:rPr>
          <w:highlight w:val="yellow"/>
        </w:rPr>
        <w:t>[When adopting this policy, add to the list above anything that definition covers and the list misses.]</w:t>
      </w:r>
      <w:r>
        <w:rPr/>
        <w:t xml:space="preserve"> Where the work adds an AI feature, Section 3.9 applies, and the risks are assessed under the Information Security Policy's risk process, as that policy provides.</w:t>
      </w:r>
    </w:p>
    <w:p>
      <w:pPr>
        <w:pStyle w:val="ListBullet"/>
      </w:pPr>
      <w:r>
        <w:t xml:space="preserve">Security requirements apply when acquiring software too. Before adopting or buying an application that will handle the organization's information, the same what-must-it-protect and what-could-go-wrong questions are asked of it, within the security assessment the Vendor Risk Management Policy requires.</w:t>
      </w:r>
    </w:p>
    <w:p>
      <w:pPr>
        <w:pStyle w:val="ListBullet"/>
      </w:pPr>
      <w:r>
        <w:t xml:space="preserve">Systems are designed on established security principles: give each part the least access it needs (least privilege), check every input, fail closed (when something breaks, it denies access rather than allows it), and never rely on secrecy of the design as the protection. These four are the organization's starting list. The Information Security Lead keeps the list current as the organization's technology changes, and records it with the secure coding guidance (Section 3.2).</w:t>
      </w:r>
    </w:p>
    <w:p>
      <w:pPr>
        <w:pStyle w:val="ListBullet"/>
      </w:pPr>
      <w:r>
        <w:t xml:space="preserve">An application the organization builds records the security events the Logging and Monitoring Policy asks of it: sign-ins and sign-in failures, privileged actions, access to Confidential information under the Data Handling Policy, changes to security settings, access to stored keys and secrets, and any security events its own code detects. It also records its own errors. Each entry carries what that policy asks for, timed in Coordinated Universal Time (UTC) or with the time zone alongside, and no entry records a password, a key, a token, a session identifier, or a full payment card number. It also sends those records where and as promptly as that policy requires, and keeps them until delivery is confirmed, so none are lost while the store is unreachable. Once the store has them, the application's own administrators cannot change them. The people designing the work put that in the requirements, because software built without those records cannot produce them later without a code change.</w:t>
      </w:r>
    </w:p>
    <w:p>
      <w:pPr>
        <w:pStyle w:val="Heading2"/>
      </w:pPr>
      <w:r>
        <w:t xml:space="preserve">3.2 Secure Coding</w:t>
      </w:r>
    </w:p>
    <w:p>
      <w:pPr>
        <w:pStyle w:val="ListBullet"/>
      </w:pPr>
      <w:r>
        <w:t xml:space="preserve">Code follows secure coding practices: developers avoid the classic mistakes that let attackers in, and review checks for them. Failing to check that the person asking is allowed to have what they asked for is broken access control. Trusting whatever input arrives, instead of checking it against what the software expects, is missing input validation. Putting text a person supplied on a page without neutralizing it, whether it arrives in the request or comes back from storage, is unescaped output, or cross-site scripting (XSS). Building database commands by gluing user text into them is a string-built query, or SQL injection. Writing passwords or keys into the code itself leaves hard-coded secrets. Validating input catches unexpected content and is a second line of defense. To stop injection and unescaped output, build every command with the interpreter's own safe method, such as a parameterized query, and encode output for the place it lands. The Information Security Lead designates the secure coding guidance the organization follows, matched to its languages and platforms.</w:t>
      </w:r>
    </w:p>
    <w:p>
      <w:pPr>
        <w:pStyle w:val="ListBullet"/>
      </w:pPr>
      <w:r>
        <w:rPr/>
        <w:t xml:space="preserve">Before a change to code reaches production, it is reviewed (on the emergency path below, the review follows the release), and the review covers security as well as correctness, including whether the change meets its security requirements (Section 3.1). Wherever the organization has a second person who can read code, the reviewer is someone who did not write the change. The Change Management Policy's approval rules apply on top: the person who makes a change never approves it.</w:t>
      </w:r>
    </w:p>
    <w:p>
      <w:pPr>
        <w:pStyle w:val="ListBullet"/>
      </w:pPr>
      <w:r>
        <w:rPr/>
        <w:t xml:space="preserve">Where no one else in the organization can read code, the developer walks the change approver through the change and its test results before release, and the change record notes that walk-through as the review. For an internet-facing application built with only a walk-through review, the independent penetration test is the outside check on what was built, which is why Section 3.4 keeps it inside that test's scope.</w:t>
      </w:r>
    </w:p>
    <w:p>
      <w:pPr>
        <w:pStyle w:val="ListBullet"/>
      </w:pPr>
      <w:r>
        <w:rPr/>
        <w:t xml:space="preserve">The review is recorded: in the merge request (the request to merge the change into the shared code) where a pipeline exists, or in the change record where none does. A fix released as an emergency change under the Change Management Policy is reviewed as soon as a reviewer is available, at latest within </w:t>
      </w:r>
      <w:r>
        <w:rPr>
          <w:highlight w:val="yellow"/>
        </w:rPr>
        <w:t>[2 business days]</w:t>
      </w:r>
      <w:r>
        <w:rPr/>
        <w:t xml:space="preserve"> (keep this value matched to the Change Management Policy's deadline for completing the emergency change record). Where no one else can read code, the walk-through above happens in the same window. The change record says the review followed the release. If the review finds a problem, the follow-up is a change under the Change Management Policy. A vulnerability the fix introduced is reported under Section 7.0.</w:t>
      </w:r>
    </w:p>
    <w:p>
      <w:pPr>
        <w:pStyle w:val="ListBullet"/>
      </w:pPr>
      <w:r>
        <w:t xml:space="preserve">Code a tool or an AI agent writes counts as written by the person who directed it (the Change Management Policy has the same rule for changes). It gets the same review and testing as code written by hand, and the person who directed it carries the author's duties in this policy for that code. Where an approval lets a tool write or ship code on its own, those duties fall to the person the approval names as accountable for it under the AI Acceptable Use Policy, and the replacement checks that approval defines stand in for the review of what the approval covers. The Change Management Policy limits a tool acting on its own to standard changes, so an approval cannot let a tool ship a change that needs approval each time.</w:t>
      </w:r>
    </w:p>
    <w:p>
      <w:pPr>
        <w:pStyle w:val="ListBullet"/>
      </w:pPr>
      <w:r>
        <w:t xml:space="preserve">No secret lives in code: keys, passwords, and tokens stay in approved secret storage, as the Access Control Policy and the Encryption Policy require. The repositories that hold code (Section 3.6) are scanned for secrets saved into them; the Encryption Policy requires this scan for keys, and this policy extends it to passwords and tokens (Section 3.4).</w:t>
      </w:r>
    </w:p>
    <w:p>
      <w:pPr>
        <w:pStyle w:val="ListBullet"/>
      </w:pPr>
      <w:r>
        <w:t xml:space="preserve">Where a choice exists, the organization picks the platform or language that makes the dangerous mistakes harder to write (a memory-safe language rules out a whole class of memory-handling bugs, for example), and turns on the safety options the language and build tooling offer. For anything that will face the internet, the choice is recorded with the work, and a choice against the safer option says why.</w:t>
      </w:r>
    </w:p>
    <w:p>
      <w:pPr>
        <w:pStyle w:val="Heading2"/>
      </w:pPr>
      <w:r>
        <w:t xml:space="preserve">3.3 Components and Dependencies</w:t>
      </w:r>
    </w:p>
    <w:p>
      <w:pPr>
        <w:pStyle w:val="ListBullet"/>
      </w:pPr>
      <w:r>
        <w:t xml:space="preserve">Most modern software is assembled from third-party building blocks (</w:t>
      </w:r>
      <w:r>
        <w:rPr>
          <w:b/>
        </w:rPr>
        <w:t xml:space="preserve">components</w:t>
      </w:r>
      <w:r>
        <w:t xml:space="preserve">, also called dependencies, because the software depends on them): open-source libraries, frameworks, and packages. Together they are the </w:t>
      </w:r>
      <w:r>
        <w:rPr>
          <w:b/>
        </w:rPr>
        <w:t xml:space="preserve">software supply chain</w:t>
      </w:r>
      <w:r>
        <w:rPr/>
        <w:t xml:space="preserve">. Each one brings its maker's bugs along, so components are chosen deliberately: actively maintained (recent releases and a responsive maintainer), pulled from the official package repository or the maker's own distribution point, including a mirror the maker lists, and never from forums or from a site that re-hosts the package with no involvement from its maker. The package's exact name and publisher are checked, because a lookalike name on an official repository is still the wrong package (typosquatting). Where the organization publishes its own packages for internal use, the build resolves those names from the organization's own repository only, so a package published elsewhere under the same name is never picked up (dependency confusion).</w:t>
      </w:r>
    </w:p>
    <w:p>
      <w:pPr>
        <w:pStyle w:val="ListBullet"/>
      </w:pPr>
      <w:r>
        <w:t xml:space="preserve">A component's license terms are part of the choice: the organization uses a component only on terms it can meet, especially in software it distributes, and the component list records each component's license. Rights in code an AI tool generated follow the AI Acceptable Use Policy, and the organization settles them before it distributes software containing such code.</w:t>
      </w:r>
    </w:p>
    <w:p>
      <w:pPr>
        <w:pStyle w:val="ListBullet"/>
      </w:pPr>
      <w:r>
        <w:t xml:space="preserve">The organization keeps a list of the components used by each application (its infrastructure code included) and by each automation that handles Confidential information. That list is a </w:t>
      </w:r>
      <w:r>
        <w:rPr>
          <w:b/>
        </w:rPr>
        <w:t xml:space="preserve">software bill of materials, or SBOM</w:t>
      </w:r>
      <w:r>
        <w:rPr/>
        <w:t xml:space="preserve">: an ingredients list for software. Where the build system (the tooling that assembles code into the running software) can generate the list, the tooling generates it for everything it covers, and one list is kept per release, so the organization can tell which releases carried a vulnerable component. Where the build system cannot, the list is kept by hand and updated when components change. A per-release dependency lockfile (the file that pins each component to an exact version) kept in the repository satisfies the list for the components it covers.</w:t>
      </w:r>
    </w:p>
    <w:p>
      <w:pPr>
        <w:pStyle w:val="ListBullet"/>
      </w:pPr>
      <w:r>
        <w:t xml:space="preserve">Where the organization supplies software to others, the list is also produced in a standard software bill of materials format (SPDX or CycloneDX, for example), so a customer or an authority that asks for it can read it directly. A lockfile serves the organization's own use and is not that format.</w:t>
      </w:r>
    </w:p>
    <w:p>
      <w:pPr>
        <w:pStyle w:val="ListBullet"/>
      </w:pPr>
      <w:r>
        <w:t xml:space="preserve">Components are kept current: a component is updated when a vulnerability calls for it, and the component list is reviewed at least </w:t>
      </w:r>
      <w:r>
        <w:rPr>
          <w:highlight w:val="yellow"/>
        </w:rPr>
        <w:t xml:space="preserve">[annually]</w:t>
      </w:r>
      <w:r>
        <w:t xml:space="preserve"> to catch components that are outdated or no longer maintained. Where the review finds a component that is outdated, the organization updates it; where it finds one that is no longer maintained, the organization replaces it on a documented plan, as the Vulnerability Management Policy requires for software past its end of support, and the plan carries a named owner and a date; that policy also has the organization record the gap until replacement as an exception or an accepted risk. That policy's isolation and internet-exposure rules govern a system past its end of support rather than a component inside an application the organization still maintains. A vulnerability in a component is handled under the Vulnerability Management Policy on that policy's remediation timeframes, whether the fix is an update or a code change.</w:t>
      </w:r>
    </w:p>
    <w:p>
      <w:pPr>
        <w:pStyle w:val="ListBullet"/>
      </w:pPr>
      <w:r>
        <w:t xml:space="preserve">A contract or a law can require the organization to hold the component list and to provide it: a regulator may ask for it, and a customer contract may call for it. </w:t>
      </w:r>
      <w:r>
        <w:rPr>
          <w:highlight w:val="yellow"/>
        </w:rPr>
        <w:t xml:space="preserve">[Decide who receives the list on request. A component list names the exact versions the software runs, so whoever holds it can look up which published weaknesses apply.]</w:t>
      </w:r>
      <w:r>
        <w:t xml:space="preserve"> The Data Handling Policy governs it either way.</w:t>
      </w:r>
    </w:p>
    <w:p>
      <w:pPr>
        <w:pStyle w:val="Heading2"/>
      </w:pPr>
      <w:r>
        <w:t xml:space="preserve">3.4 Security Testing</w:t>
      </w:r>
    </w:p>
    <w:p>
      <w:pPr>
        <w:pStyle w:val="ListBullet"/>
      </w:pPr>
      <w:r>
        <w:t xml:space="preserve">The organization sets its application security baseline from the OWASP Application Security Verification Standard (ASVS) 5.0.0, a published catalog of application security requirements sorted into three levels. Every application the organization builds is subject to the baseline. Where the organization significantly customizes purchased software (Section 2.0), the baseline reaches what the organization builds on top of it rather than the vendor's own product, which the Vendor Risk Management Policy assesses. </w:t>
      </w:r>
      <w:r>
        <w:rPr>
          <w:highlight w:val="yellow"/>
        </w:rPr>
        <w:t xml:space="preserve">[Level 2]</w:t>
      </w:r>
      <w:r>
        <w:t xml:space="preserve"> is the organization's default level; ASVS states that most applications should aim for Level 2. </w:t>
      </w:r>
      <w:r>
        <w:t xml:space="preserve">Level 1 is acceptable for </w:t>
      </w:r>
      <w:r>
        <w:rPr>
          <w:highlight w:val="yellow"/>
        </w:rPr>
        <w:t xml:space="preserve">[an application that handles no Confidential information under the Data Handling Policy and is not reachable from the internet]</w:t>
      </w:r>
      <w:r>
        <w:t xml:space="preserve">. Level 3 is set where an application has to show the highest level of security; ASVS gives online banking as its example. The Information Security Lead sets the level for each application and records it with the work. A level includes every requirement at that level and at the levels below it, so Level 2 covers the Level 1 requirements too. At design time (Section 3.1), the people designing the work take that whole set and leave out only what the application cannot use, such as the web frontend requirements for a service that only other software calls.</w:t>
      </w:r>
    </w:p>
    <w:p>
      <w:pPr>
        <w:pStyle w:val="ListBullet"/>
      </w:pPr>
      <w:r>
        <w:t xml:space="preserve">Where a pipeline exists, automated checks run on every change: dependency scanning (software composition analysis or SCA: checking each component against the public lists of known vulnerabilities), secret scanning (checking for keys and passwords left in code), and static analysis (SAST: tooling that reads code for known-dangerous patterns). Where the work includes infrastructure built as code, those files are scanned for settings that would leave a system exposed once deployed. The Information Security Lead designates the tools for the organization's languages and platforms. Internet-facing web applications also receive application-layer scanning (DAST: scans that test the running application itself) at least </w:t>
      </w:r>
      <w:r>
        <w:rPr>
          <w:highlight w:val="yellow"/>
        </w:rPr>
        <w:t xml:space="preserve">[quarterly]</w:t>
      </w:r>
      <w:r>
        <w:t xml:space="preserve">. This policy sets both intervals, and the Vulnerability Management Policy's development bullet follows them. Where no pipeline exists, security operations runs the same scans on a schedule, at least </w:t>
      </w:r>
      <w:r>
        <w:rPr>
          <w:highlight w:val="yellow"/>
        </w:rPr>
        <w:t xml:space="preserve">[monthly]</w:t>
      </w:r>
      <w:r>
        <w:t xml:space="preserve">. </w:t>
      </w:r>
      <w:r>
        <w:rPr>
          <w:highlight w:val="yellow"/>
        </w:rPr>
        <w:t xml:space="preserve">[When adopting these policies, keep the Vulnerability Management Policy's development bullet (that policy's Section 3.2) matched to the two values above: its component scanning interval to the schedule where no pipeline exists, and its application-layer scanning interval to the DAST value.]</w:t>
      </w:r>
    </w:p>
    <w:p>
      <w:pPr>
        <w:pStyle w:val="ListBullet"/>
      </w:pPr>
      <w:r>
        <w:t xml:space="preserve">A secret the scans find is treated as exposed, as the Encryption Policy treats a found key: it is reported at once (Section 7.0), handled as a security incident under the Incident Response Policy, rotated or revoked, and removed from the code. Where the secret is a key, the Encryption Policy also has the organization re-encrypt what the key protected, because rotating it does not protect what the old key can still unlock. Rotating or revoking it is what closes the exposure, because deleting it from the current code leaves it in the repository's history and in every copy already taken. A hit that is not a real secret (a sample value, a test fixture, a scanner mistake) may instead be closed as a false positive with recorded evidence, approved by security operations or the Information Security Lead as the Vulnerability Management Policy provides; when in doubt, treat it as real. Every other finding is looked at and then either fixed or accepted through the Vulnerability Management Policy's process.</w:t>
      </w:r>
    </w:p>
    <w:p>
      <w:pPr>
        <w:pStyle w:val="ListBullet"/>
      </w:pPr>
      <w:r>
        <w:t xml:space="preserve">Before an application first goes live, the automated checks have run, their findings have been handled under the gate below, and testing verifies every applicable requirement at and below the application's ASVS level, the set chosen at design (Section 3.1), with the architecture and documentation requirements checked by review rather than by test. Before a significant change (Section 3.1) to the application goes live, testing verifies the requirements the change touches, and the automated checks run as always.</w:t>
      </w:r>
    </w:p>
    <w:p>
      <w:pPr>
        <w:pStyle w:val="ListBullet"/>
      </w:pPr>
      <w:r>
        <w:t xml:space="preserve">The Vulnerability Management Policy separately requires an independent penetration test (a hands-on test where a person actively attempts to break in) of the systems in its test scope, on the schedule that policy sets. </w:t>
      </w:r>
      <w:r>
        <w:rPr>
          <w:highlight w:val="yellow"/>
        </w:rPr>
        <w:t xml:space="preserve">[Keep internet-facing applications in that scope when adopting these policies.]</w:t>
      </w:r>
      <w:r>
        <w:t xml:space="preserve"> An internet-facing application built with only the walk-through review in Section 3.2 stays in that scope either way. The Information Security Lead checks the scope against the organization's applications when each test is commissioned, and adds internal applications handling Confidential information where the risk warrants it. The tester works from the source code and the design documentation, because ASVS says verifying its requirements may need that access, especially at Level 2 and above. One engagement satisfies both policies; this policy adds no second penetration test.</w:t>
      </w:r>
    </w:p>
    <w:p>
      <w:pPr>
        <w:pStyle w:val="ListBullet"/>
      </w:pPr>
      <w:r>
        <w:t xml:space="preserve">Test results are recorded with the work, in the same place as Section 3.1's records.</w:t>
      </w:r>
    </w:p>
    <w:p>
      <w:pPr>
        <w:pStyle w:val="ListBullet"/>
      </w:pPr>
      <w:r>
        <w:t xml:space="preserve">Two kinds of finding stop a release: a serious one the release itself introduces or its own testing finds, and a serious one already overdue on that application. No other finding blocks a release, though the testing this section requires before a first release and before a significant change still has to pass. Based on what is known at release time, a release does not go live with an unresolved finding it introduces, or one its pre-release testing newly finds, where that finding is at or above </w:t>
      </w:r>
      <w:r>
        <w:rPr>
          <w:highlight w:val="yellow"/>
        </w:rPr>
        <w:t xml:space="preserve">[High]</w:t>
      </w:r>
      <w:r>
        <w:t xml:space="preserve"> severity on the Vulnerability Management Policy's severity scale or is known to be actively exploited as that policy uses the term. Where the Cyber Resilience Act applies (Section 3.8), a release supplied to others also carries no vulnerability the organization knows an attacker could exploit, whatever its severity, because the Act sets that condition rather than a severity threshold. A finding from manual testing, with no tool score, is given a severity on that scale by the same people who approve a false positive above: security operations or the Information Security Lead. Once a finding at or above </w:t>
      </w:r>
      <w:r>
        <w:t xml:space="preserve">that severity, or one known to be actively exploited, is overdue with no compensating measure, exception, or accepted risk in place, the application's releases wait until the finding is fixed or covered. A release held by that overdue finding that cannot wait still runs, as an emergency change under the Change Management Policy, and a compensating measure for the overdue finding goes in at the same time.</w:t>
      </w:r>
    </w:p>
    <w:p>
      <w:pPr>
        <w:pStyle w:val="ListBullet"/>
      </w:pPr>
      <w:r>
        <w:rPr/>
        <w:t xml:space="preserve">A documented exception or accepted risk under the Vulnerability Management Policy lifts either block. A compensating measure does not clear a finding the release introduces or its testing newly finds, and a release is never blocked by a finding it fixes or reduces below the severity threshold above. Reducing a finding does not clear it, and the finding stays open on that policy's clock at its reassessed severity. A fix for a blocking finding, or for another security finding, may still ship. A finding discovered after release is handled under Section 3.8.</w:t>
      </w:r>
    </w:p>
    <w:p>
      <w:pPr>
        <w:pStyle w:val="Heading2"/>
      </w:pPr>
      <w:r>
        <w:t xml:space="preserve">3.5 Environments and Test Data</w:t>
      </w:r>
    </w:p>
    <w:p>
      <w:pPr>
        <w:pStyle w:val="ListBullet"/>
      </w:pPr>
      <w:r>
        <w:rPr/>
        <w:t>Development and testing happen apart from production, in their own environments (separate copies of the systems, with their own accounts and data). On platforms the organization controls (its own servers, cloud accounts, and hosting), the organization creates those environments. The environment is sized to the work: an application gets a separate copy of the system. For a script or a small automation, a developer machine or a scratch area with test data is enough, as long as that machine or scratch area stays apart from the production system and its credentials. A developer machine used for this work is a development environment under this section. What is built reaches production only through the Change Management Policy's process.</w:t>
      </w:r>
    </w:p>
    <w:p>
      <w:pPr>
        <w:pStyle w:val="ListBullet"/>
      </w:pPr>
      <w:r>
        <w:rPr/>
        <w:t xml:space="preserve">Some low-code tools and some SaaS tools cannot host a separate copy (SaaS means software a provider runs and users reach over the internet). Where the platform itself cannot host one, changes are tested as the Change Management Policy provides, and the change record names the platform and says no test environment exists. Nothing else removes the need for a separate environment.</w:t>
      </w:r>
    </w:p>
    <w:p>
      <w:pPr>
        <w:pStyle w:val="ListBullet"/>
      </w:pPr>
      <w:r>
        <w:rPr/>
        <w:t xml:space="preserve">The pipeline is an environment too, along with anything else that builds, signs, or ships a release. It is separate from the development and test environments, its access follows Section 3.6, and the credentials and signing keys it holds reach only the systems it deploys to and are kept in the approved secret storage under the Encryption Policy. The build tooling, plugins, and actions it runs are pulled from their maker's own distribution point and pinned to one exact copy. Where the publisher can move a version label to different code, as a build platform's actions and a container image tag both allow, the pin is the commit identifier or the file digest rather than the label, so a change at the source cannot alter what the build does.</w:t>
      </w:r>
    </w:p>
    <w:p>
      <w:pPr>
        <w:pStyle w:val="ListBullet"/>
      </w:pPr>
      <w:r>
        <w:t xml:space="preserve">Development and test environments get real access controls, and the keys, tokens, and service credentials (the sign-ins software itself uses) of one environment do not work in another. The organization's central identity provider (IdP: the one sign-in system the organization's other systems trust) may span environments; production access is requested and approved on its own under the Access Control Policy, never bundled with development access.</w:t>
      </w:r>
    </w:p>
    <w:p>
      <w:pPr>
        <w:pStyle w:val="ListBullet"/>
      </w:pPr>
      <w:r>
        <w:rPr/>
        <w:t>Test data is made up or generated. Real data enters a development or test environment only when the work genuinely requires it. The Data Handling Policy requires the information owner's approval for such a copy of Confidential information into a test or demonstration environment; this policy requires that approval for every copy of real data, whatever its classification. Whenever real data is used, Confidential information is masked first (real values replaced with made-up ones), and the copy is removed when the work is done. Where masking is impossible, the environment holding the data is protected like production. The Data Handling Policy governs the data throughout.</w:t>
      </w:r>
    </w:p>
    <w:p>
      <w:pPr>
        <w:pStyle w:val="ListBullet"/>
      </w:pPr>
      <w:r>
        <w:t xml:space="preserve">Accounts, keys, and sample records created for testing do not reach production: they are removed from the release before it goes live. Default accounts and default passwords a platform comes with are removed, disabled, or changed before release; where the platform will not allow it, their access is reduced to the minimum the platform allows and the gap is handled through the exception process (Section 6.0). A test account or default credential found in production is reported under Section 7.0.</w:t>
      </w:r>
    </w:p>
    <w:p>
      <w:pPr>
        <w:pStyle w:val="Heading2"/>
      </w:pPr>
      <w:r>
        <w:t xml:space="preserve">3.6 Source Code and Build</w:t>
      </w:r>
    </w:p>
    <w:p>
      <w:pPr>
        <w:pStyle w:val="ListBullet"/>
      </w:pPr>
      <w:r>
        <w:rPr/>
        <w:t>All code the organization writes or maintains, including code delivered under Section 3.7, lives in version control (a system that records every change to code, who made it, and when) rather than in personal folders or shared drives. Some platforms hold what was built, cannot export it, and keep their own change history; some low-code and no-code tools work this way. On such a platform, that history and the change record stand in for version control, and the change record says so.</w:t>
      </w:r>
    </w:p>
    <w:p>
      <w:pPr>
        <w:pStyle w:val="ListBullet"/>
      </w:pPr>
      <w:r>
        <w:rPr/>
        <w:t>Read and write access to source code, development tools, software libraries, and the pipeline is granted on business need under the Access Control Policy. Under that policy, write access to the code that ships (the code that goes to production) follows that policy's rules for privileged (administrator-level) access in four respects: who holds it, the sign-in that protects it, the review schedule it follows, and when it is removed. It belongs to a named individual, or to a named owner under that policy's service account rules where it runs a service or an automation rather than a person. Where a person signs in, multi-factor authentication (MFA: a second sign-in step, such as an app prompt or a code) protects it. It is reviewed on the schedule that policy sets for privileged access, and removed when the role ends or the automation is retired. Where the platform can require the review in Section 3.2 before a change merges into the code that ships, the organization turns that on; where it cannot, the gap goes to the exception process (Section 6.0). Access to change the pipeline is protected the same way, because a change to the pipeline changes what reaches production.</w:t>
      </w:r>
    </w:p>
    <w:p>
      <w:pPr>
        <w:pStyle w:val="ListBullet"/>
      </w:pPr>
      <w:r>
        <w:t xml:space="preserve">Releases the organization supplies to others are signed where the distribution channel supports signing. Where it does not, the organization publishes a checksum (a short value computed from the file, which changes if the file changes) for each release somewhere a person who altered the release file could not also alter, so a recipient has something independent to check it against. The key or certificate used to sign releases is held in the approved secret storage under the Encryption Policy, is used only by the release process, and is replaced or revoked on that policy's terms; where it is compromised, that policy also has the organization treat everything it signed as forgeable and tell the people and systems that relied on it.</w:t>
      </w:r>
    </w:p>
    <w:p>
      <w:pPr>
        <w:pStyle w:val="ListBullet"/>
      </w:pPr>
      <w:r>
        <w:t xml:space="preserve">For each release it supplies to others, the organization sets a support period: how long it will fix vulnerabilities in that release. It records that period, gives recipients the date it ends when they buy or receive the release, and tells them when a release reaches it. Executive Management approves the period where the Cyber Resilience Act applies, because it then commits the organization to fix vulnerabilities and supply updates for years after the release. Where the Cyber Resilience Act applies, the period is at least five years unless the software is expected to be in use for less; each security update then stays available for ten years after it is issued or for the rest of the support period, whichever is longer, and security updates go to recipients free of charge, unless the product was built for one business customer that agreed otherwise. </w:t>
      </w:r>
      <w:r>
        <w:rPr>
          <w:highlight w:val="yellow"/>
        </w:rPr>
        <w:t xml:space="preserve">[Set the default period, and how a release departs from it.]</w:t>
      </w:r>
      <w:r>
        <w:t xml:space="preserve"> It keeps the released files and the signature or checksum a recipient checks them against for the support period, and it keeps each security update available for that period or for any longer period the law sets, whichever is longer.</w:t>
      </w:r>
    </w:p>
    <w:p>
      <w:pPr>
        <w:pStyle w:val="ListBullet"/>
      </w:pPr>
      <w:r>
        <w:t xml:space="preserve">Software the organization builds has secure default settings, so it is protected before anyone configures it, and it can be reset to that state. It can receive security updates, and it tells the person running it when one is available. Where automatic installation suits the product, updates install by default, there is a clear way to turn that off, and the person running it can put an update off for a while. That holds for what the organization runs itself and for what it supplies to others.</w:t>
      </w:r>
    </w:p>
    <w:p>
      <w:pPr>
        <w:pStyle w:val="ListBullet"/>
      </w:pPr>
      <w:r>
        <w:rPr/>
        <w:t>The organization's own code is an information asset: its classification follows the Data Handling Policy, and it is backed up under the Business Continuity &amp; Disaster Recovery Plan's rules. A hosted version control service is a cloud service under that plan. Where the repositories sit behind a critical activity (one the business cannot go without for long), the organization keeps its own export, because the provider's internal backups are not the isolated copy that plan asks for. For any other repository, the organization either verifies that the provider's backup and restore meet the recovery point objective (RPO: how much recent work the organization can afford to lose), or backs the repositories up itself.</w:t>
      </w:r>
    </w:p>
    <w:p>
      <w:pPr>
        <w:pStyle w:val="Heading2"/>
      </w:pPr>
      <w:r>
        <w:t xml:space="preserve">3.7 Development by Others</w:t>
      </w:r>
    </w:p>
    <w:p>
      <w:pPr>
        <w:pStyle w:val="ListBullet"/>
      </w:pPr>
      <w:r>
        <w:t xml:space="preserve">Development done for the organization by a vendor or contractor follows this policy through the contract: the engagement is assessed under the Vendor Risk Management Policy, and the contract requires secure development practices, security testing before delivery, and the component list for what is delivered. The contract also settles who holds the rights in what is delivered, including any part an AI tool generated, so the organization can use and distribute it on the terms Section 3.3 requires. The contract also requires the vendor to fix vulnerabilities found after delivery, on the terms and for the period the contract sets. It requires the vendor to tell the organization about a vulnerability or an incident in what it delivered soon enough for the organization to meet its own reporting duties (Section 3.8). The Vendor Risk Management Policy sets the incident window; the contract sets the vulnerability window and shortens the incident window where Section 3.8's deadlines need it. While the engagement runs, whoever leads development checks at the milestones the contract sets that the agreed practices and testing are happening, and records what it finds in the vendor record.</w:t>
      </w:r>
    </w:p>
    <w:p>
      <w:pPr>
        <w:pStyle w:val="ListBullet"/>
      </w:pPr>
      <w:r>
        <w:t xml:space="preserve">The organization reviews what is delivered before relying on it: the security requirements from Section 3.1 are checked, and delivered code and components enter the organization's own version control, scanning, and vulnerability handling like code written in-house. The review's outcome is recorded in the vendor record the Vendor Risk Management Policy keeps.</w:t>
      </w:r>
    </w:p>
    <w:p>
      <w:pPr>
        <w:pStyle w:val="Heading2"/>
      </w:pPr>
      <w:r>
        <w:t xml:space="preserve">3.8 Vulnerabilities and Incidents in What the Organization Builds</w:t>
      </w:r>
    </w:p>
    <w:p>
      <w:pPr>
        <w:pStyle w:val="ListBullet"/>
      </w:pPr>
      <w:r>
        <w:t xml:space="preserve">A vulnerability found in software the organization built, whoever finds it, is handled under the Vulnerability Management Policy on that policy's remediation timeframes; the fix is developed under this policy and released under the Change Management Policy. Where the organization supplied the affected software to others, the response covers them too: the fix is delivered to recipients, and affected customers are notified, on the same timeframes or the contract's terms. Where the vulnerability is in a component rather than in the organization's own code, the organization also tells whoever maintains that component and shares any fix it writes for the component with them. The Cyber Resilience Act requires both of a manufacturer in scope. Where the build allows it, the security fix ships on its own rather than bundled with new features, so a recipient can take it without taking anything else; where it does not, the advisory says which changes are the security fix. After the fix, a short review asks what would have caught it earlier. The answer is written down with the vulnerability record, and it updates the baseline, the tests, or the training. The review also asks where else the same mistake could be, and the organization looks for it in the rest of what it built rather than waiting for someone to report it.</w:t>
      </w:r>
    </w:p>
    <w:p>
      <w:pPr>
        <w:pStyle w:val="ListBullet"/>
      </w:pPr>
      <w:r>
        <w:t xml:space="preserve">The Vulnerability Management Policy requires the organization to publish a way to reach it for security reports; reports from outside (a customer, a researcher) come in through that channel. They are acknowledged and handled under that policy, which protects good-faith reporters. Where the organization supplied the affected software to others, it publishes an advisory when the fix ships, whoever found the vulnerability: what the weakness was, which releases it affected, how severe it is, what it could let an attacker do, and what a recipient has to do. Where the report came from outside, it also tells the reporter what it found and when a fix will be available. Where publishing before recipients can apply the fix would put them at more risk, the organization holds the advisory until they can.</w:t>
      </w:r>
    </w:p>
    <w:p>
      <w:pPr>
        <w:pStyle w:val="ListBullet"/>
      </w:pPr>
      <w:r>
        <w:t xml:space="preserve">Where the organization sells or supplies software, some laws set duties for product security and vulnerability reporting. The organization records the ones that apply to it in the record of legal, regulatory, and contractual requirements the Information Security Policy keeps, and follows them. The European Union's Cyber Resilience Act (CRA, Regulation (EU) 2024/2847) covers products with digital elements supplied on the EU market in the course of a commercial activity, wherever the organization itself is based. The Act reaches a product whose intended or reasonably foreseeable use includes a data connection to a device or a network, directly or indirectly. Software the organization gives away outside any commercial activity, such as an open-source project it does not sell or monetize, is outside the manufacturer duties. So is software the organization hosts and sells as a service on its own; the Act reaches hosted processing only where that processing is what makes a product the organization supplies work, and other European Union law can still reach a service the organization hosts. An organization whose purpose is to sustain free and open-source software that others use commercially carries a shorter set of duties of its own, reporting among them. Where it is unclear whether the Act reaches what the organization supplies, the organization takes legal advice before the reporting duties would start.</w:t>
      </w:r>
    </w:p>
    <w:p>
      <w:pPr>
        <w:pStyle w:val="ListBullet"/>
      </w:pPr>
      <w:r>
        <w:t xml:space="preserve">The CRA's reporting duties apply from 11 September 2026, and the rest of its duties from 11 December 2027. Those reporting duties reach software the organization already supplies: they cover every product in scope that was placed on the EU market before 11 December 2027. The Act's other requirements reach such a product only where the organization substantially modifies it from that date. A substantial modification is a change that affects whether the product still meets the Act's essential requirements, or that changes what the product is for, and it is a different test from the significant change in Section 3.1.</w:t>
      </w:r>
    </w:p>
    <w:p>
      <w:pPr>
        <w:pStyle w:val="ListBullet"/>
      </w:pPr>
      <w:r>
        <w:t xml:space="preserve">Those other duties reach the product and the paperwork behind it: the product has to meet the Act's essential requirements, and the manufacturer has to put in place a policy on coordinated vulnerability disclosure, draw up technical documentation before the product goes on the market, run a conformity assessment, issue an EU declaration of conformity, affix the CE marking, name one contact people can reach it on about the product without limiting that contact to an automated form, write down the cybersecurity risks the product is designed against and update that record across the support period, and supply the information and instructions the Act's Annex II sets out. Where it learns the product no longer meets those requirements, it corrects the product, or withdraws or recalls it. It keeps that documentation, and that information, for ten years after the product goes on the market or for the support period, whichever is longer. The Vulnerability Management Policy's Section 3.2, with this section, is that disclosure policy, and the information supplied with the product says where to find it. Which conformity assessment route applies depends on what the product is. The organization can assess most products itself. The Act lists categories of important and critical product, among them identity and access management software, password managers, VPNs, network management and SIEM systems, firewalls, and hypervisors and container runtimes, where self-assessment is limited or unavailable and an outside body approved for the purpose (a notified body), or a European cybersecurity certification scheme, has to carry the assessment instead. These duties take longer to put in place than the reporting duties do, and a product placed on the market on 11 December 2027 has to conform already, so the organization takes legal advice on them well before it first supplies software on the EU market.</w:t>
      </w:r>
    </w:p>
    <w:p>
      <w:pPr>
        <w:pStyle w:val="ListBullet"/>
      </w:pPr>
      <w:r>
        <w:t xml:space="preserve">A manufacturer in scope reports actively exploited vulnerabilities and severe incidents. Under the Act a vulnerability is actively exploited where there is reliable evidence that an attacker has exploited it in a system without the owner's permission, so evidence that it happened is enough and an attack need not be running now. An incident is severe where it harms, or could harm, the product's ability to keep sensitive or important data or functions available, unaltered, genuine, and private, or where it has led, or could lead, to malicious code being placed or run in the product or in a user's systems. That test looks at the product and its users, so an incident can be severe under the Act while the Incident Response Policy's severity levels rate it lower. Rate an incident on both.</w:t>
      </w:r>
    </w:p>
    <w:p>
      <w:pPr>
        <w:pStyle w:val="ListBullet"/>
      </w:pPr>
      <w:r>
        <w:t xml:space="preserve">The reporting deadlines are short: for a vulnerability and for an incident alike, the manufacturer sends an early warning within 24 hours of learning of it and a fuller notification within 72 hours. It then files a final report: within 14 days of a corrective or mitigating measure becoming available for a vulnerability, which can be a workaround rather than a full fix, and within one month of the 72-hour notification for a severe incident.</w:t>
      </w:r>
    </w:p>
    <w:p>
      <w:pPr>
        <w:pStyle w:val="ListBullet"/>
      </w:pPr>
      <w:r>
        <w:t xml:space="preserve">The notifications go at the same time to the national computer security incident response team (CSIRT) designated as coordinator and to ENISA, the European Union Agency for Cybersecurity. Both are reached through the single reporting platform the Act establishes. Between those reports, the CSIRT may ask for a status update.  Once the manufacturer learns of the vulnerability or the incident, it tells the users affected what has happened and what they can do to reduce the impact. Where that is appropriate, it tells all users of the product. Where it can, it sends that in a structured form other software can read. An organization in scope records these deadlines among the legal duties the Incident Response Policy notifies on, and sets its response so a report goes out within 24 hours of learning of the vulnerability or the incident. That clock starts before the severity assessment and the fix are finished. Where the platform is unavailable when a deadline falls due, the organization submits through it as soon as it is back, and may contact the designated CSIRT directly in the meantime where the report cannot wait. </w:t>
      </w:r>
      <w:r>
        <w:rPr>
          <w:highlight w:val="yellow"/>
        </w:rPr>
        <w:t xml:space="preserve">[Record which country's CSIRT receives them; the Act sets an order for a manufacturer with no main establishment in the EU, and ENISA publishes the list of CSIRTs designated as coordinators on its single reporting platform page.]</w:t>
      </w:r>
    </w:p>
    <w:p>
      <w:pPr>
        <w:pStyle w:val="Heading2"/>
      </w:pPr>
      <w:r>
        <w:t xml:space="preserve">3.9 Building AI Features</w:t>
      </w:r>
    </w:p>
    <w:p>
      <w:pPr>
        <w:pStyle w:val="ListBullet"/>
      </w:pPr>
      <w:r>
        <w:t xml:space="preserve">This section applies where software the organization builds uses an AI model: a hosted model it calls, a model it runs itself, or one it fine-tunes (trains further on the organization's own examples). Using an AI tool to help write code is not an AI feature, and Section 3.2 covers that. An organization that builds no AI feature has nothing to do here; this section applies from the first one. Everything else in this policy applies to an AI feature as it does to any other work, and this section adds what the model changes. Anyone building an AI feature is trained on the threats in this section before that work starts, within the role-based training the Information Security Policy requires. Where the organization builds an AI feature, it also runs the fuller AI risk process the AI Acceptable Use Policy points to: the Map, Measure, and Manage functions of the NIST AI Risk Management Framework (AI RMF), alongside the risk process in the Information Security Policy. Govern, which the framework describes as cross-cutting, sits in the AI Acceptable Use Policy; the decisions Section 4.0 gives the Information Security Lead carry it into this work.</w:t>
      </w:r>
    </w:p>
    <w:p>
      <w:pPr>
        <w:pStyle w:val="ListBullet"/>
      </w:pPr>
      <w:r>
        <w:t xml:space="preserve">A model, its weights (the trained numbers that make it work), and any dataset used to train, fine-tune, or ground it (supply it with the organization's own reference material) are components under Section 3.3: they are chosen deliberately, recorded in the component list with their source and license, and reviewed on the same schedule. A model's license often limits what may be built on it and what its output may be used for, so whoever chooses the model reads the license first. Before the work depends on it, the Information Security Lead approves the model for the classification of information the feature will put in front of it, and records the approval. A hosted model the software calls goes on the AI Acceptable Use Policy's list of approved tools; a model the organization runs itself or fine-tunes is approved here, because that policy's Section 2.0 sends this work to this policy.</w:t>
      </w:r>
    </w:p>
    <w:p>
      <w:pPr>
        <w:pStyle w:val="ListBullet"/>
      </w:pPr>
      <w:r>
        <w:t xml:space="preserve">Where the organization runs, fine-tunes, or trains a model itself, it protects the model weights, the model's configuration, and its training, testing, fine-tuning, aligning, and grounding data the way Section 3.6 protects source code: access on business need under the Access Control Policy, and backed up under the Business Continuity &amp; Disaster Recovery Plan. It keeps the weights apart from that data, so access to one does not hand over the other. The environments that hold them record and monitor access as the Logging and Monitoring Policy requires, so unexpected access to a model or its data is noticed.</w:t>
      </w:r>
    </w:p>
    <w:p>
      <w:pPr>
        <w:pStyle w:val="ListBullet"/>
      </w:pPr>
      <w:r>
        <w:t xml:space="preserve">A model the organization did not train is checked before anything loads it: it is pulled by a file digest (a checksum that identifies one exact file) rather than by a version label the publisher can move or a name the publisher could later give up, the publisher is confirmed, and the file is scanned for malicious content. Scanning does not stand in for pinning the file and confirming the publisher: a model file can run code the moment it loads, and the scanners for that have known bypasses. It is loaded the first time in an environment the organization can discard. That first load is where the code would run, so it happens whatever the model will later be used for. Where the model is hosted rather than downloaded, the feature calls a specific version where the provider offers one, and whoever owns the feature watches the provider's notices for a version being changed or retired. That owner also records what would take a model out of use, whatever its source: the provider retiring it, testing finding its answers no longer fit the use, or a weakness in it with no fix.</w:t>
      </w:r>
    </w:p>
    <w:p>
      <w:pPr>
        <w:pStyle w:val="ListBullet"/>
      </w:pPr>
      <w:r>
        <w:t xml:space="preserve">Where the organization trains, fine-tunes, tests, aligns, or grounds a model on data it chooses, it checks that data before use: where it came from (its provenance), that no one has altered it, whether it is skewed or too narrow to represent what the feature will meet, and whether anything in it would push the model toward a wrong or harmful answer (data poisoning). Data whose origin the organization cannot establish is recorded as unknown and weighed on that basis.</w:t>
      </w:r>
    </w:p>
    <w:p>
      <w:pPr>
        <w:pStyle w:val="ListBullet"/>
      </w:pPr>
      <w:r>
        <w:t xml:space="preserve">The classification of the data decides whether it may be used at all. Confidential information and personal information go into training, fine-tuning, or grounding only where the Data Handling Policy allows that use and the information owner approves it in writing. Grounding data sits in a store the organization can correct or delete. Training and fine-tuning data does not: it stays in the weights after the source is deleted, so a later request to delete a person's information cannot be met by deleting the source file. The Information Security Lead records that decision before the data is used, and the record says what the organization will do if someone later asks it to delete their information, since the Data Handling Policy routes that request and deleting the source file will not answer it.</w:t>
      </w:r>
    </w:p>
    <w:p>
      <w:pPr>
        <w:pStyle w:val="ListBullet"/>
      </w:pPr>
      <w:r>
        <w:t xml:space="preserve">Where the feature turns documents into numbers so it can search them by meaning (embeddings, held in a vector store), that store is classified and protected like the documents it was built from, because stored embeddings can be turned back into readable text. Where one store holds material for more than one customer or team, the feature checks who is asking before the search runs rather than filtering the results after it. Where others can add to the store, the design says who may add and what is checked before an item becomes searchable, because content placed there can be written so that a chosen question retrieves it. The feature does not hand the caller the raw similarity scores, which on their own tell an outsider whether a given document is in the store.</w:t>
      </w:r>
    </w:p>
    <w:p>
      <w:pPr>
        <w:pStyle w:val="ListBullet"/>
      </w:pPr>
      <w:r>
        <w:t xml:space="preserve">An AI feature treats everything the model reads as untrusted input, including documents, web pages, emails, and tool results that no user wrote. Text carried inside that content can give the model instructions (prompt injection), so the design never relies on the model's own instructions to enforce a rule. Every rule the organization needs enforced is enforced in the surrounding code, where an instruction hidden in the content cannot reach it.</w:t>
      </w:r>
    </w:p>
    <w:p>
      <w:pPr>
        <w:pStyle w:val="ListBullet"/>
      </w:pPr>
      <w:r>
        <w:t xml:space="preserve">Where the feature lets the model act, by calling a tool, reading a store, or sending a message, the design lists the actions it may take and the data each one reaches, and grants only those. The feature acts under its own credentials, which carry only the listed actions. Where the feature acts for a signed-in person, it also checks that person's own authorization for each action and each record, so it returns nothing they could not reach directly. An action that spends money, changes access, deletes data, or sends something outside the organization waits for a person's confirmation. The design also sets what the feature may do in one run: how many tool calls it may make, how far it may chain them, how long it may run, and what it may spend. It stops and waits for a person when it passes those limits. A named person can switch the feature off without shipping a release. Section 3.1's threat modeling asks what the feature could be made to do with a hostile input, and the answer sets these limits.</w:t>
      </w:r>
    </w:p>
    <w:p>
      <w:pPr>
        <w:pStyle w:val="ListBullet"/>
      </w:pPr>
      <w:r>
        <w:t xml:space="preserve">A model's answer can be confidently wrong (confabulation, also called hallucination). Where a wrong answer would mislead a person or set an action going, the design shows what the answer rests on so the reader can check it, and the feature does not treat the model's statement that a condition has been met as evidence that it has: the surrounding code checks the condition itself.</w:t>
      </w:r>
    </w:p>
    <w:p>
      <w:pPr>
        <w:pStyle w:val="ListBullet"/>
      </w:pPr>
      <w:r>
        <w:t xml:space="preserve">Before an AI feature goes live, the design writes the impact and fairness record: who the feature affects and what a wrong or unfair answer would do to them. Where the feature feeds a consequential decision, meaning one that affects a person's rights, safety, money, or legal standing, such as a decision about hiring, dismissal, pay, discipline, credit, insurance, housing, healthcare, education, benefits, or access to a service, the feature is built so a person makes the decision rather than the model. The testing this section requires also checks whether its answers differ for groups the law protects. The AI Acceptable Use Policy carries the duties that attach to such a use. On that record, the Information Security Lead decides whether the feature is fit to go live. Where the Lead built the feature, Executive Management takes that decision and approves the model.</w:t>
      </w:r>
    </w:p>
    <w:p>
      <w:pPr>
        <w:pStyle w:val="ListBullet"/>
      </w:pPr>
      <w:r>
        <w:t xml:space="preserve">Some laws set duties for whoever supplies an AI feature or puts it into service. The organization records the ones that apply to it in the record of legal, regulatory, and contractual requirements the Information Security Policy keeps, and follows them. Some states and cities require more than the organization's own check, including an independent annual bias audit for a hiring tool used in New York City; the AI Acceptable Use Policy's Section 3.11 sets out what applies, and the organization reads it before the feature goes live. </w:t>
      </w:r>
      <w:r>
        <w:rPr>
          <w:highlight w:val="yellow"/>
        </w:rPr>
        <w:t>[Where the organization puts an AI feature into service in the European Union, or its output is used there, the European Union's AI Act (Regulation (EU) 2024/1689) treats the organization as the provider of that system, including where it runs the feature only for itself. Since 2 August 2026 a feature that interacts with people tells them they are dealing with AI unless that is obvious, and a feature that generates audio, image, video, or text marks its output in a form other software can detect. A generative feature placed on the EU market before 2 August 2026 has four months more, to 2 December 2026, to meet that marking rule. A feature that helps decide something about a person, in hiring, education, credit, insurance, or access to a public service, may also be a high-risk system under the Act, whose provider carries a much larger set of duties from 2 December 2027. The Section 3.11 named above covers what the Act asks of an organization that only uses AI; take legal advice on what it asks of a provider before the feature goes live.]</w:t>
      </w:r>
    </w:p>
    <w:p>
      <w:pPr>
        <w:pStyle w:val="ListBullet"/>
      </w:pPr>
      <w:r>
        <w:t xml:space="preserve">Model output is treated as untrusted output: it is escaped, validated, or checked before it is shown on a page, run as code or a command, used to build a database query, or passed to another system. The classic mistakes in Section 3.2 apply unchanged when the text came from a model instead of from a person.</w:t>
      </w:r>
    </w:p>
    <w:p>
      <w:pPr>
        <w:pStyle w:val="ListBullet"/>
      </w:pPr>
      <w:r>
        <w:t xml:space="preserve">What the feature sends to a model follows the Data Handling Policy, and the AI Acceptable Use Policy decides which models may receive which information; those rules bind the software as they bind a person. Confidential information reaches a model only where the approval for that model allows it. The design assumes anything placed in front of the model can come back out in an answer, so the feature puts nothing in front of the model that the person asking is not entitled to see. That covers the instructions the organization wrote, the documents the feature retrieves, and another user's data. Taking such material out of the answer afterward does not replace keeping it out of the request. No key, password, or token goes into what the feature puts in front of the model.</w:t>
      </w:r>
    </w:p>
    <w:p>
      <w:pPr>
        <w:pStyle w:val="ListBullet"/>
      </w:pPr>
      <w:r>
        <w:t xml:space="preserve">Testing an AI feature covers what the surrounding code does with hostile input and hostile output, because a model's answers vary between runs and one passing test proves little. Before an AI feature first goes live, testing includes attempts to make the feature ignore its instructions, reveal what it was given, and use its tools beyond what the design allows. Where the feature reads content the organization did not write, such as mail, tickets, documents, or web pages, those attempts arrive in that content as well as in what a user types. The tests run again whenever the model or its version changes, the instructions the feature gives it change, or the feature is pointed at a new source of content to retrieve or to ground on, and at least </w:t>
      </w:r>
      <w:r>
        <w:rPr>
          <w:highlight w:val="yellow"/>
        </w:rPr>
        <w:t xml:space="preserve">[annually]</w:t>
      </w:r>
      <w:r>
        <w:t xml:space="preserve"> while the feature stays in service. Content arriving in a source the feature already reads does not start a re-test on its own. A hosted model can change under the feature without the organization changing anything. Findings are handled under Section 3.4 and the Vulnerability Management Policy like any other.</w:t>
      </w:r>
    </w:p>
    <w:p>
      <w:pPr>
        <w:pStyle w:val="ListBullet"/>
      </w:pPr>
      <w:r>
        <w:t xml:space="preserve">The feature records what the Logging and Monitoring Policy asks of it, and it keeps a record of what was asked, what the model answered, and which tools ran, so a wrong or harmful answer can be traced afterward. That record follows the Data Handling Policy for whatever the request and the answer contain. The feature limits how much any one caller may consume, so no single caller can exhaust the service or its budget.</w:t>
      </w:r>
    </w:p>
    <w:p>
      <w:pPr>
        <w:pStyle w:val="Heading1"/>
      </w:pPr>
      <w:r>
        <w:t xml:space="preserve">4.0 Roles and Responsibilities</w:t>
      </w:r>
    </w:p>
    <w:p>
      <w:pPr>
        <w:pStyle w:val="ListBullet"/>
      </w:pPr>
      <w:r>
        <w:rPr>
          <w:b/>
        </w:rPr>
        <w:t xml:space="preserve">The Information Security Lead</w:t>
      </w:r>
      <w:r>
        <w:t xml:space="preserve"> owns this policy and sets the ASVS level for each application. The Lead proposes the default level, the conditions for Level 1, the severity threshold for release and the two scanning intervals (Section 3.4), and the review and re-test intervals in Sections 3.3 and 3.9; changes to them follow Section 5.0. The Lead designates the design principles, the secure coding guidance, and the scanning tools (Sections 3.1, 3.2, and 3.4), and keeps them where everyone doing development work can find them </w:t>
      </w:r>
      <w:r>
        <w:rPr>
          <w:highlight w:val="yellow"/>
        </w:rPr>
        <w:t xml:space="preserve">[name the place, for example the intranet page or the repository where the guidance is kept]</w:t>
      </w:r>
      <w:r>
        <w:rPr/>
        <w:t xml:space="preserve">. Where development is already under way at adoption, the designations are in place within </w:t>
      </w:r>
      <w:r>
        <w:rPr>
          <w:highlight w:val="yellow"/>
        </w:rPr>
        <w:t xml:space="preserve">[90 days]</w:t>
      </w:r>
      <w:r>
        <w:t xml:space="preserve"> of the effective date; otherwise they are in place before the first development work after adoption goes live. Until the tools are designated, security operations turns on whatever scanning the organization's existing platforms already offer and records what is not yet covered. The Lead keeps those designations current, tracks the editions of the standards and frameworks Sections 3.4 and 9.0 name and puts a new one to the review in Section 5.0, and answers questions about what this policy requires. The Lead checks the penetration test scope and the tester's access against the organization's applications when each test is commissioned (Section 3.4).</w:t>
      </w:r>
    </w:p>
    <w:p>
      <w:pPr>
        <w:pStyle w:val="ListBullet"/>
      </w:pPr>
      <w:r>
        <w:t xml:space="preserve">For an AI feature, the Lead approves the model before the work depends on it (Section 3.9), records the decision to put Confidential or personal information into training, fine-tuning, or grounding, and, on the impact and fairness record, decides whether the feature is fit to go live (Section 3.9); where the Lead built the feature, Executive Management approves the model and takes that decision.</w:t>
      </w:r>
    </w:p>
    <w:p>
      <w:pPr>
        <w:pStyle w:val="ListBullet"/>
      </w:pPr>
      <w:r>
        <w:t xml:space="preserve">For software the organization supplies to others, the Lead decides whether Section 3.8's reporting duties are engaged and prepares the notifications, the advisory, and the messages to affected recipients and to the reporter; the Incident Response Policy governs who approves an external notification and who sends it, and where Executive Management cannot be reached in time that policy lets the Lead approve one.</w:t>
      </w:r>
    </w:p>
    <w:p>
      <w:pPr>
        <w:pStyle w:val="ListBullet"/>
      </w:pPr>
      <w:r>
        <w:rPr>
          <w:b/>
        </w:rPr>
        <w:t>Whoever leads development</w:t>
      </w:r>
      <w:r>
        <w:rPr/>
        <w:t xml:space="preserve"> (a development lead, or the senior developer; in the smallest organization the person doing the work) decides what counts as an application (Section 2.0) and what is significant, and plans security requirements and threat modeling into the work (Section 3.1). They make sure reviews and tests happen before release, keep the component lists current (Section 3.3), and sign releases, propose the support period, give recipients the date that period ends, tell them when a release reaches it, and keep the released files and their signature or checksum, and each security update, for the periods Section 3.6 sets. They review what a vendor delivers (Section 3.7), hold the review after a fix and report a component vulnerability to whoever maintains it (Section 3.8), name an owner for each AI feature in service, and keep the records this policy requires where the work is tracked. That owner watches the provider's notices and runs the tests Section 3.9 requires while the feature stays in service. The records are retained under the Data Handling Policy's retention schedule; where a record type this policy creates has no row there, whoever leads development adds one, the AI feature's record of requests and answers included.</w:t>
      </w:r>
    </w:p>
    <w:p>
      <w:pPr>
        <w:pStyle w:val="ListBullet"/>
      </w:pPr>
      <w:r>
        <w:rPr>
          <w:b/>
        </w:rPr>
        <w:t>Developers</w:t>
      </w:r>
      <w:r>
        <w:rPr/>
        <w:t>, including contractors, are trained on the secure coding guidance before they write or review code for the organization, follow that guidance, complete the training the Information Security Policy requires for their roles, and the training Section 3.9 requires before building an AI feature, review changes they did not write (Section 3.2), write down the security decisions they make, and never bypass the pipeline, the tests, or the review. In an emergency, the Change Management Policy's emergency change is the one path, and the review follows as Section 3.2 provides.</w:t>
      </w:r>
    </w:p>
    <w:p>
      <w:pPr>
        <w:pStyle w:val="ListBullet"/>
      </w:pPr>
      <w:r>
        <w:t xml:space="preserve">Security operations, with IT (an internal team or a qualified service provider; in a small organization the Information Security Lead performs both), runs the scanning tools, watches the open findings, rates a manual finding that carries no tool score as Section 3.4 provides, and keeps the development, test, and build environments in line with Section 3.5.</w:t>
      </w:r>
    </w:p>
    <w:p>
      <w:pPr>
        <w:pStyle w:val="ListBullet"/>
      </w:pPr>
      <w:r>
        <w:rPr>
          <w:b/>
        </w:rPr>
        <w:t xml:space="preserve">Everyone</w:t>
      </w:r>
      <w:r>
        <w:t xml:space="preserve"> reports suspected vulnerabilities and insecure practices promptly (Section 7.0).</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 xml:space="preserve">Promptly report a suspected vulnerability in software the organization built, a secret found in code, development work bypassing review or testing, and other security concerns.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Change Management Policy: it approves and releases what is developed, and owns the release route and approval rules; this policy sets what the code review covers and how the pipeline itself is protected (Section 3.5).</w:t>
      </w:r>
    </w:p>
    <w:p>
      <w:pPr>
        <w:pStyle w:val="ListBullet"/>
      </w:pPr>
      <w:r>
        <w:t xml:space="preserve">The AI Acceptable Use Policy: the rules for using AI tools, including coding assistants, and which models may receive which information; this policy sets the review standard their output must pass, governs the AI features the organization builds, and carries the fuller AI risk process for that work (Section 3.9).</w:t>
      </w:r>
    </w:p>
    <w:p>
      <w:pPr>
        <w:pStyle w:val="ListBullet"/>
      </w:pPr>
      <w:r>
        <w:t xml:space="preserve">The Vulnerability Management Policy: it handles vulnerabilities in what the organization builds and runs, on that policy's timeframes.</w:t>
      </w:r>
    </w:p>
    <w:p>
      <w:pPr>
        <w:pStyle w:val="ListBullet"/>
      </w:pPr>
      <w:r>
        <w:t xml:space="preserve">The Incident Response Policy: it takes over when a secret is found in code, or when someone is exploiting a vulnerability in what the organization built; this policy carries the short reporting deadlines the Cyber Resilience Act sets for a manufacturer in scope (Section 3.8).</w:t>
      </w:r>
    </w:p>
    <w:p>
      <w:pPr>
        <w:pStyle w:val="ListBullet"/>
      </w:pPr>
      <w:r>
        <w:t xml:space="preserve">The Logging and Monitoring Policy: it sets what the organization's own applications record and who watches those records; this policy builds the applications to produce them.</w:t>
      </w:r>
    </w:p>
    <w:p>
      <w:pPr>
        <w:pStyle w:val="ListBullet"/>
      </w:pPr>
      <w:r>
        <w:t xml:space="preserve">The Access Control Policy: it governs access to code, tools, and environments.</w:t>
      </w:r>
    </w:p>
    <w:p>
      <w:pPr>
        <w:pStyle w:val="ListBullet"/>
      </w:pPr>
      <w:r>
        <w:t xml:space="preserve">The Remote Work &amp; Mobile Device Policy: it secures the machines developers write, test, and store code on.</w:t>
      </w:r>
    </w:p>
    <w:p>
      <w:pPr>
        <w:pStyle w:val="ListBullet"/>
      </w:pPr>
      <w:r>
        <w:t xml:space="preserve">The Encryption Policy: it sets the cryptography the software uses and bans keys in code.</w:t>
      </w:r>
    </w:p>
    <w:p>
      <w:pPr>
        <w:pStyle w:val="ListBullet"/>
      </w:pPr>
      <w:r>
        <w:t xml:space="preserve">The Data Handling Policy: it classifies the information the software and its test data hold.</w:t>
      </w:r>
    </w:p>
    <w:p>
      <w:pPr>
        <w:pStyle w:val="ListBullet"/>
      </w:pPr>
      <w:r>
        <w:t xml:space="preserve">The Vendor Risk Management Policy: it contracts and assesses development done by others.</w:t>
      </w:r>
    </w:p>
    <w:p>
      <w:pPr>
        <w:pStyle w:val="ListBullet"/>
      </w:pPr>
      <w:r>
        <w:t xml:space="preserve">The Business Continuity &amp; Disaster Recovery Plan: under its rules the organization's code, hosted version control included, is backed up.</w:t>
      </w:r>
    </w:p>
    <w:p>
      <w:r>
        <w:t xml:space="preserve">Where any of these does not exist yet, treat it as a roadmap item; the rules in this policy apply on their own regardless.</w:t>
      </w:r>
    </w:p>
    <w:p>
      <w:r>
        <w:t xml:space="preserve">At a policy level, these rules put into practice the secure development controls of ISO/IEC 27001:2022 Annex A: control 8.25 (secure development life cycle), and with it controls 8.26 to 8.29 (application security requirements; secure system architecture and engineering principles; secure coding; security testing in development and acceptance). They also carry controls 8.30 (outsourced development), 8.33 (test information), and 8.4 (access to source code). The component licence rules in Section 3.3 and the rights terms in Section 3.7 carry control 5.32 (intellectual property rights) for what the organization builds and distributes. The environment rules in Section 3.5, with the Change Management Policy's separation rule, also support control 8.31 (separation of development, test and production environments).</w:t>
      </w:r>
    </w:p>
    <w:p>
      <w:r>
        <w:t xml:space="preserve">They support the Protect function of the NIST Cybersecurity Framework (CSF) 2.0: the secure development outcome PR.PS-06, the Data Security outcomes PR.DS-01 and PR.DS-02 that the source code and test data rules in Sections 3.5 and 3.6 reach, and PR.DS-10 that the shared retrieval store rule in Section 3.9 reaches. They follow NIST's secure development guidance, Special Publication 800-218, the Secure Software Development Framework (SSDF) Version 1.1, whose four practice groups (Prepare the Organization, Protect the Software, Produce Well-Secured Software, Respond to Vulnerabilities) shape Sections 3.1 to 3.8. Where the organization builds AI features, Section 3.9 follows that framework's AI companion, NIST Special Publication 800-218A, Secure Software Development Practices for Generative AI and Dual-Use Foundation Models: An SSDF Community Profile. The risk work that section requires follows the Map, Measure, and Manage functions of the NIST Artificial Intelligence Risk Management Framework (AI RMF 1.0, NIST AI 100-1).</w:t>
      </w:r>
    </w:p>
    <w:p>
      <w:r>
        <w:t xml:space="preserve">For application-level security requirements and testing, the organization uses the OWASP Application Security Verification Standard (ASVS) 5.0.0 at the levels Section 3.4 sets. For the risks a model brings with it, Section 3.9 follows the OWASP Top 10 for LLM Applications 2026, which covers large language models.</w:t>
      </w:r>
    </w:p>
    <w:p>
      <w:pPr>
        <w:pStyle w:val="Heading1"/>
      </w:pPr>
      <w:r>
        <w:t xml:space="preserve">Appendix 1: Security Gates by Stage</w:t>
      </w:r>
    </w:p>
    <w:p>
      <w:r>
        <w:t xml:space="preserve">This table is the quick reference for what happens when; the rules in Sections 3.1 to 3.9 govern, and the bracketed values are set there.</w:t>
      </w:r>
    </w:p>
    <w:tbl>
      <w:tblPr>
        <w:tblStyle w:val="TableGrid"/>
        <w:tblW w:type="auto" w:w="0"/>
        <w:tblLook w:firstColumn="1" w:firstRow="1" w:lastColumn="0" w:lastRow="0" w:noHBand="0" w:noVBand="1" w:val="04A0"/>
      </w:tblPr>
      <w:tblGrid>
        <w:gridCol w:w="2200"/>
        <w:gridCol w:w="4600"/>
        <w:gridCol w:w="4000"/>
      </w:tblGrid>
      <w:tr>
        <w:trPr>
          <w:cantSplit/>
          <w:tblHeader/>
        </w:trPr>
        <w:tc>
          <w:tcPr>
            <w:tcW w:type="dxa" w:w="2200"/>
          </w:tcPr>
          <w:p>
            <w:pPr>
              <w:pageBreakBefore/>
            </w:pPr>
            <w:r>
              <w:rPr>
                <w:b/>
              </w:rPr>
              <w:t xml:space="preserve">Stage</w:t>
            </w:r>
          </w:p>
        </w:tc>
        <w:tc>
          <w:tcPr>
            <w:tcW w:type="dxa" w:w="4600"/>
          </w:tcPr>
          <w:p>
            <w:r>
              <w:rPr>
                <w:b/>
              </w:rPr>
              <w:t xml:space="preserve">What this policy requires</w:t>
            </w:r>
          </w:p>
        </w:tc>
        <w:tc>
          <w:tcPr>
            <w:tcW w:type="dxa" w:w="4000"/>
          </w:tcPr>
          <w:p>
            <w:r>
              <w:rPr>
                <w:b/>
              </w:rPr>
              <w:t xml:space="preserve">Where it is written down</w:t>
            </w:r>
          </w:p>
        </w:tc>
      </w:tr>
      <w:tr>
        <w:trPr>
          <w:cantSplit/>
        </w:trPr>
        <w:tc>
          <w:tcPr>
            <w:tcW w:type="dxa" w:w="2200"/>
          </w:tcPr>
          <w:p>
            <w:r>
              <w:t xml:space="preserve">Design</w:t>
            </w:r>
          </w:p>
        </w:tc>
        <w:tc>
          <w:tcPr>
            <w:tcW w:type="dxa" w:w="4600"/>
          </w:tcPr>
          <w:p>
            <w:r>
              <w:rPr/>
              <w:t xml:space="preserve">Security requirements from the application security baseline, or the three questions for any other work; threat modeling for new applications, for other new work that handles Confidential information, and for significant changes and changes that rework sign-in, access, or Confidential information (Section 3.1)</w:t>
            </w:r>
          </w:p>
          <w:p>
            <w:r>
              <w:rPr/>
              <w:t xml:space="preserve">A design review by someone who did not design it, for an application or a significant change (Section 3.1)</w:t>
            </w:r>
          </w:p>
          <w:p>
            <w:r>
              <w:rPr/>
              <w:t xml:space="preserve">For an AI feature, the limits on what the model may do and reach, what it may do in one run, who can stop it, and the Information Security Lead's approval of the model (Section 3.9)</w:t>
            </w:r>
          </w:p>
        </w:tc>
        <w:tc>
          <w:tcPr>
            <w:tcW w:type="dxa" w:w="4000"/>
          </w:tcPr>
          <w:p>
            <w:r>
              <w:t xml:space="preserve">With the work (the ticket, project page, or repository): the requirements and the threat model record</w:t>
            </w:r>
          </w:p>
        </w:tc>
      </w:tr>
      <w:tr>
        <w:trPr>
          <w:cantSplit/>
        </w:trPr>
        <w:tc>
          <w:tcPr>
            <w:tcW w:type="dxa" w:w="2200"/>
          </w:tcPr>
          <w:p>
            <w:r>
              <w:t xml:space="preserve">Coding</w:t>
            </w:r>
          </w:p>
        </w:tc>
        <w:tc>
          <w:tcPr>
            <w:tcW w:type="dxa" w:w="4600"/>
          </w:tcPr>
          <w:p>
            <w:r>
              <w:t xml:space="preserve">Secure coding guidance followed; no secrets in code; AI-written code reviewed like any other (Section 3.2)</w:t>
            </w:r>
          </w:p>
        </w:tc>
        <w:tc>
          <w:tcPr>
            <w:tcW w:type="dxa" w:w="4000"/>
          </w:tcPr>
          <w:p>
            <w:r>
              <w:t xml:space="preserve">The recorded code review: the merge request, or the change record where no pipeline exists (Change Management Policy)</w:t>
            </w:r>
          </w:p>
        </w:tc>
      </w:tr>
      <w:tr>
        <w:trPr>
          <w:cantSplit/>
        </w:trPr>
        <w:tc>
          <w:tcPr>
            <w:tcW w:type="dxa" w:w="2200"/>
          </w:tcPr>
          <w:p>
            <w:r>
              <w:t xml:space="preserve">Components</w:t>
            </w:r>
          </w:p>
        </w:tc>
        <w:tc>
          <w:tcPr>
            <w:tcW w:type="dxa" w:w="4600"/>
          </w:tcPr>
          <w:p>
            <w:r>
              <w:t xml:space="preserve">Components and their licenses chosen deliberately and kept current; the component list maintained, models and datasets included, and data used to train, fine-tune, or ground a model checked before use (Sections 3.3 and 3.9)</w:t>
            </w:r>
          </w:p>
        </w:tc>
        <w:tc>
          <w:tcPr>
            <w:tcW w:type="dxa" w:w="4000"/>
          </w:tcPr>
          <w:p>
            <w:r>
              <w:t xml:space="preserve">The component list (SBOM)</w:t>
            </w:r>
          </w:p>
        </w:tc>
      </w:tr>
      <w:tr>
        <w:trPr>
          <w:cantSplit/>
        </w:trPr>
        <w:tc>
          <w:tcPr>
            <w:tcW w:type="dxa" w:w="2200"/>
          </w:tcPr>
          <w:p>
            <w:r>
              <w:t xml:space="preserve">Before release</w:t>
            </w:r>
          </w:p>
        </w:tc>
        <w:tc>
          <w:tcPr>
            <w:tcW w:type="dxa" w:w="4600"/>
          </w:tcPr>
          <w:p>
            <w:r>
              <w:rPr/>
              <w:t xml:space="preserve">For an application, its first release passes tests at every applicable requirement at and below its ASVS level; a significant change verifies what it touches (Section 3.4); scan findings reviewed; an AI feature is also tested against hostile input and output, and the Information Security Lead decides it is fit to go live (Section 3.9)</w:t>
            </w:r>
          </w:p>
          <w:p>
            <w:r>
              <w:rPr/>
              <w:t xml:space="preserve">A finding at or above the severity Section 3.4 sets, or actively exploited, that the release introduces or its testing newly finds is resolved or covered by an exception or accepted risk, and an overdue finding can block the application's releases (Section 3.4 has the full gate)</w:t>
            </w:r>
          </w:p>
          <w:p>
            <w:r>
              <w:rPr/>
              <w:t xml:space="preserve">Test accounts and default credentials removed or handled; real data used in testing approved, masked, and removed (Section 3.5)</w:t>
            </w:r>
          </w:p>
        </w:tc>
        <w:tc>
          <w:tcPr>
            <w:tcW w:type="dxa" w:w="4000"/>
          </w:tcPr>
          <w:p>
            <w:r>
              <w:t xml:space="preserve">Test results with the work; the impact and fairness record; exceptions or accepted risks under the Vulnerability Management Policy</w:t>
            </w:r>
          </w:p>
        </w:tc>
      </w:tr>
      <w:tr>
        <w:trPr>
          <w:cantSplit/>
        </w:trPr>
        <w:tc>
          <w:tcPr>
            <w:tcW w:type="dxa" w:w="2200"/>
          </w:tcPr>
          <w:p>
            <w:r>
              <w:t xml:space="preserve">Release</w:t>
            </w:r>
          </w:p>
        </w:tc>
        <w:tc>
          <w:tcPr>
            <w:tcW w:type="dxa" w:w="4600"/>
          </w:tcPr>
          <w:p>
            <w:r>
              <w:t xml:space="preserve">Through the Change Management Policy's process only (Section 3.5); a release supplied to others is signed, or published with a checksum, and its support period is set and given to recipients (Section 3.6)</w:t>
            </w:r>
          </w:p>
        </w:tc>
        <w:tc>
          <w:tcPr>
            <w:tcW w:type="dxa" w:w="4000"/>
          </w:tcPr>
          <w:p>
            <w:r>
              <w:t xml:space="preserve">The change record; the signature or published checksum</w:t>
            </w:r>
          </w:p>
        </w:tc>
      </w:tr>
      <w:tr>
        <w:trPr>
          <w:cantSplit/>
        </w:trPr>
        <w:tc>
          <w:tcPr>
            <w:tcW w:type="dxa" w:w="2200"/>
          </w:tcPr>
          <w:p>
            <w:r>
              <w:t xml:space="preserve">Delivered by others</w:t>
            </w:r>
          </w:p>
        </w:tc>
        <w:tc>
          <w:tcPr>
            <w:tcW w:type="dxa" w:w="4600"/>
          </w:tcPr>
          <w:p>
            <w:r>
              <w:t xml:space="preserve">Requirements checked; code and components brought into version control and scanning (Section 3.7)</w:t>
            </w:r>
          </w:p>
        </w:tc>
        <w:tc>
          <w:tcPr>
            <w:tcW w:type="dxa" w:w="4000"/>
          </w:tcPr>
          <w:p>
            <w:r>
              <w:t xml:space="preserve">The vendor record</w:t>
            </w:r>
          </w:p>
        </w:tc>
      </w:tr>
      <w:tr>
        <w:trPr>
          <w:cantSplit/>
        </w:trPr>
        <w:tc>
          <w:tcPr>
            <w:tcW w:type="dxa" w:w="2200"/>
          </w:tcPr>
          <w:p>
            <w:r>
              <w:t xml:space="preserve">After release</w:t>
            </w:r>
          </w:p>
        </w:tc>
        <w:tc>
          <w:tcPr>
            <w:tcW w:type="dxa" w:w="4600"/>
          </w:tcPr>
          <w:p>
            <w:r>
              <w:t xml:space="preserve">Vulnerabilities handled under the Vulnerability Management Policy; where the software was supplied to others, the fix delivered to recipients and an advisory published when it ships; where the Cyber Resilience Act applies, an actively exploited vulnerability or a severe incident brings an early warning within 24 hours, a fuller notification within 72 hours, and a final report; the lesson written down (Section 3.8)</w:t>
            </w:r>
          </w:p>
        </w:tc>
        <w:tc>
          <w:tcPr>
            <w:tcW w:type="dxa" w:w="4000"/>
          </w:tcPr>
          <w:p>
            <w:r>
              <w:t xml:space="preserve">The vulnerability record, with the lesson; the advisory; the notifications sent through the single reporting platform</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Secure Development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13</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4659</Words>
  <Characters>25747</Characters>
  <DocSecurity>0</DocSecurity>
  <Lines>172</Lines>
  <Paragraphs>145</Paragraphs>
  <ScaleCrop>false</ScaleCrop>
  <HeadingPairs>
    <vt:vector size="2" baseType="variant">
      <vt:variant>
        <vt:lpstr>Title</vt:lpstr>
      </vt:variant>
      <vt:variant>
        <vt:i4>1</vt:i4>
      </vt:variant>
    </vt:vector>
  </HeadingPairs>
  <TitlesOfParts>
    <vt:vector size="1" baseType="lpstr">
      <vt:lpstr>Secure Development Policy</vt:lpstr>
    </vt:vector>
  </TitlesOfParts>
  <Manager/>
  <Company>anoBytes Technology Solutions LLC</Company>
  <LinksUpToDate>false</LinksUpToDate>
  <CharactersWithSpaces>30403</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Secure Development Policy</dc:title>
  <dc:subject>Secure development policy template</dc:subject>
  <dc:creator>Nelson Pereira, anoBytes Technology Solutions LLC</dc:creator>
  <cp:keywords>ssdf, sast, dast, sca, application security, code review, source code, version control, pipeline, component list, security verification standard, asvs level, test data, test environments, penetration test, remediation timeframes, security baseline, vulnerability record, automated checks, 800-218, sdlc, secure development life cycle, prompt injection, untrusted input, untrusted output, hostile input, fine-tune, llm, memory-safe, cyber resilience act, cra, 800-218a, supply chain, software bill of materials, spdx, cyclonedx, dependencies, low-code, no-code, static analysis, secret scanning, merge request, signing, license, open source, release gate, least privilege, sql injection, cross-site scripting, iac, data poisoning, ai rmf, iso 27001, xss, confabulation, hallucination, dependency lockfile, infrastructure built as code, outsourced development, default credentials, default passwords, secure default settings, checksum, model weights, fine-tuning, embeddings, vector store, csirt, enisa, support period, large language model, training, grounding, masked, named owner, nist cybersecurity framework, csf, repository, repositories, ai agent, severe incident, advisory, owasp top 10, secrets, releases, provenance, ci/cd, european union's ai act, high-risk, reporting duties, annex a, consequential decision, conformity assessment, ce marking, technical documentation, coordinated vulnerability disclosure, fail closed, broken access control, hard-coded secrets, signing key, typosquatting, dependency confusion, substantial modification, digest, emergency change, input validation, pinning, commit identifier, version label, container image, annex ii, re-test, parameterized query, similarity scores, notified body</cp:keywords>
  <dc:description>Threat modeling at design, secure coding and review, components and SBOMs, security testing, and building AI features, following NIST's SSDF and OWASP ASVS 5.0.0.</dc:description>
  <cp:lastModifiedBy/>
  <cp:revision>1</cp:revision>
  <dcterms:created xsi:type="dcterms:W3CDTF">2026-07-18T00:00:00Z</dcterms:created>
  <dcterms:modified xsi:type="dcterms:W3CDTF">2026-09-10T00:00:00Z</dcterms:modified>
  <cp:category>Template</cp:category>
</cp:coreProperties>
</file>