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Vendor Risk Management Policy</w:t>
      </w:r>
    </w:p>
    <w:p>
      <w:pPr>
        <w:pStyle w:val="Heading1"/>
        <w:spacing w:before="0" w:after="80"/>
      </w:pPr>
      <w:r>
        <w:rPr>
          <w:color w:val="auto"/>
          <w:sz w:val="20"/>
          <w:szCs w:val="20"/>
        </w:rPr>
        <w:t>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Vendor Risk Management Policy</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Internal (shareable with customers and auditors on request)]</w:t>
            </w:r>
          </w:p>
        </w:tc>
      </w:tr>
    </w:tbl>
    <w:p>
      <w:pPr>
        <w:pStyle w:val="Heading1"/>
        <w:spacing w:before="0" w:after="80"/>
      </w:pPr>
      <w:r>
        <w:rPr>
          <w:color w:val="auto"/>
          <w:sz w:val="20"/>
          <w:szCs w:val="20"/>
        </w:rPr>
        <w:t>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defines how </w:t>
      </w:r>
      <w:r>
        <w:rPr>
          <w:highlight w:val="yellow"/>
        </w:rPr>
        <w:t xml:space="preserve">[Company Name]</w:t>
      </w:r>
      <w:r>
        <w:t xml:space="preserve"> ("the organization") selects, contracts with, monitors, and offboards the vendors and service providers its business depends on.</w:t>
      </w:r>
    </w:p>
    <w:p>
      <w:r>
        <w:t xml:space="preserve">This policy is a supporting policy of the organization's Information Security Policy, and it turns that policy's vendor rules into a working process. At a policy level, it puts into practice the supplier relationship and cloud services controls of ISO/IEC 27001:2022 Annex A and the corresponding outcomes of the NIST Cybersecurity Framework (CSF) 2.0 (see Section 9.0).</w:t>
      </w:r>
    </w:p>
    <w:p>
      <w:pPr>
        <w:pStyle w:val="Heading1"/>
      </w:pPr>
      <w:r>
        <w:t xml:space="preserve">2.0 Scope</w:t>
      </w:r>
    </w:p>
    <w:p>
      <w:r>
        <w:t>This policy applies to every third party that stores or processes the organization's information, connects to its systems, provides a service its operations depend on, holds physical access to premises the organization occupies, or supplies the software or equipment the organization runs, including software that updates itself. That covers vendors and service providers, cloud and SaaS services (software used over the internet), software suppliers, the suppliers of hardware and equipment, managed providers, the operators of buildings and colocation facilities the organization uses, and the firms that supply contractors. It covers everyone who selects, engages, or manages such a third party. A pure utility such as power or internet connectivity, where the supplier holds no organization information and has no connection to the organization's systems, is outside this policy. Its loss is planned for under the Business Continuity &amp; Disaster Recovery Plan instead, and it needs no vendor inventory entry. The Access Control Policy governs the accounts and access of third-party personnel, and its third-party integration rules govern connected apps and integrations. This policy governs the organization-to-vendor relationship itself, from first assessment to exit.</w:t>
      </w:r>
    </w:p>
    <w:p>
      <w:pPr>
        <w:pStyle w:val="Heading1"/>
      </w:pPr>
      <w:r>
        <w:t xml:space="preserve">3.0 Policy Statements</w:t>
      </w:r>
    </w:p>
    <w:p>
      <w:r>
        <w:t>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Vendor Inventory and Tiering</w:t>
      </w:r>
    </w:p>
    <w:p>
      <w:pPr>
        <w:pStyle w:val="ListBullet"/>
      </w:pPr>
      <w:r>
        <w:t>The organization maintains a vendor inventory: every third party in scope, the service it provides, the internal sponsor who manages the relationship, what information and access the vendor has, its risk tier, and its assessment and renewal dates. Security operations and the Information Security Lead together keep the inventory current. Each vendor's entry in the inventory is its vendor record; Appendix 1 shows what one holds, and is the record itself where no system holds it.</w:t>
      </w:r>
    </w:p>
    <w:p>
      <w:pPr>
        <w:pStyle w:val="ListBullet"/>
      </w:pPr>
      <w:r>
        <w:t xml:space="preserve">A filled-in inventory names the organization's third parties, what each holds, and the gaps it has accepted, so it is Confidential under the Data Handling Policy. Keep it where only </w:t>
      </w:r>
      <w:r>
        <w:rPr>
          <w:highlight w:val="yellow"/>
        </w:rPr>
        <w:t xml:space="preserve">[the Information Security Lead, security operations, and the sponsors]</w:t>
      </w:r>
      <w:r>
        <w:t xml:space="preserve"> can reach it.</w:t>
      </w:r>
    </w:p>
    <w:p>
      <w:pPr>
        <w:pStyle w:val="ListBullet"/>
      </w:pPr>
      <w:r>
        <w:t xml:space="preserve">Every vendor is assigned a risk tier, provisionally at first and confirmed or corrected by the assessment, and the tier is revisited whenever the vendor's data, access, or role changes. The Information Security Lead assigns and records the tier; Appendix 1 defines the tiers.</w:t>
      </w:r>
    </w:p>
    <w:p>
      <w:pPr>
        <w:pStyle w:val="ListBullet"/>
      </w:pPr>
      <w:r>
        <w:t xml:space="preserve">The tiers use the organization's information classification: Public is information approved for release, Internal is everyday business information not meant for release, and Confidential is information whose disclosure would cause serious harm to the organization, its customers, or individuals. The Data Handling Policy sets these levels; where it does not exist yet, use these three.</w:t>
      </w:r>
    </w:p>
    <w:p>
      <w:pPr>
        <w:pStyle w:val="ListBullet"/>
      </w:pPr>
      <w:r>
        <w:t>High tier: the vendor stores or processes Confidential information (a Data Handling Policy classification that includes personal information; under that policy, incidental business contact details do not qualify, but a compiled contact list can), connects to the organization's systems or holds the organization's credentials or tokens (standing secrets that grant access to the organization's systems or data), provides a service whose loss would stop or seriously disrupt the business, or holds unescorted physical access to premises the organization occupies or to the equipment or media in them.</w:t>
      </w:r>
    </w:p>
    <w:p>
      <w:pPr>
        <w:pStyle w:val="ListBullet"/>
      </w:pPr>
      <w:r>
        <w:t>Medium tier: the vendor handles only Internal information or provides an important but replaceable service.</w:t>
      </w:r>
    </w:p>
    <w:p>
      <w:pPr>
        <w:pStyle w:val="ListBullet"/>
      </w:pPr>
      <w:r>
        <w:t>Low tier: the vendor holds no organization information beyond incidental business contact details and information classified Public, and has no connection to the organization's systems.</w:t>
      </w:r>
    </w:p>
    <w:p>
      <w:pPr>
        <w:pStyle w:val="ListBullet"/>
      </w:pPr>
      <w:r>
        <w:t xml:space="preserve">A vendor that meets any High criterion is High, whatever else describes it; Medium applies only where no High criterion is met. When in doubt between two tiers, choose the higher.</w:t>
      </w:r>
    </w:p>
    <w:p>
      <w:pPr>
        <w:pStyle w:val="ListBullet"/>
      </w:pPr>
      <w:r>
        <w:t xml:space="preserve">The tier sets the depth of assessment, the contract requirements, and the re-assessment cadence in the sections below.</w:t>
      </w:r>
    </w:p>
    <w:p>
      <w:pPr>
        <w:pStyle w:val="ListBullet"/>
      </w:pPr>
      <w:r>
        <w:t xml:space="preserve">Vendors already engaged when this policy takes effect are entered in the inventory and provisionally tiered within </w:t>
      </w:r>
      <w:r>
        <w:rPr>
          <w:highlight w:val="yellow"/>
        </w:rPr>
        <w:t>[30 days]</w:t>
      </w:r>
      <w:r>
        <w:t xml:space="preserve"> of the effective date. High-tier vendors are then assessed within </w:t>
      </w:r>
      <w:r>
        <w:rPr>
          <w:highlight w:val="yellow"/>
        </w:rPr>
        <w:t>[90 days]</w:t>
      </w:r>
      <w:r>
        <w:t xml:space="preserve"> of the effective date. Medium- and Low-tier vendors are assessed by their next renewal, or within </w:t>
      </w:r>
      <w:r>
        <w:rPr>
          <w:highlight w:val="yellow"/>
        </w:rPr>
        <w:t>[12 months]</w:t>
      </w:r>
      <w:r>
        <w:t xml:space="preserve"> of the effective date, whichever comes first. Until its assessment falls due under this section, a service already in use and entered in the inventory counts as approved for the information it is already used for, and goes on the Acceptable Use Policy's list on that footing.</w:t>
      </w:r>
    </w:p>
    <w:p>
      <w:pPr>
        <w:pStyle w:val="ListBullet"/>
      </w:pPr>
      <w:r>
        <w:t xml:space="preserve">Security operations checks the vendor inventory </w:t>
      </w:r>
      <w:r>
        <w:rPr>
          <w:highlight w:val="yellow"/>
        </w:rPr>
        <w:t xml:space="preserve">[quarterly]</w:t>
      </w:r>
      <w:r>
        <w:t xml:space="preserve"> against new payees and expense reimbursements in the accounting system, and against new app grants in the identity provider (IdP: the sign-in system). A service that costs nothing and does not use the identity provider appears in neither source. An unlisted service in business use is reported under Section 7.0.</w:t>
      </w:r>
    </w:p>
    <w:p>
      <w:pPr>
        <w:pStyle w:val="Heading2"/>
      </w:pPr>
      <w:r>
        <w:t xml:space="preserve">3.2 Security Assessment Before Engagement</w:t>
      </w:r>
    </w:p>
    <w:p>
      <w:pPr>
        <w:pStyle w:val="ListBullet"/>
      </w:pPr>
      <w:r>
        <w:t xml:space="preserve">A security assessment proportionate to the vendor's tier is completed and recorded before any vendor is engaged, and before any existing service expands to new data or access. For a new vendor, the tier is assigned provisionally (see Section 3.1). The sponsor requests the assessment before any commitment is made; the Information Security Lead performs or approves the assessment.</w:t>
      </w:r>
    </w:p>
    <w:p>
      <w:pPr>
        <w:pStyle w:val="ListBullet"/>
      </w:pPr>
      <w:r>
        <w:t>A High-tier assessment reviews independent assurance where the vendor offers it, such as an independent auditor's report on the vendor's security controls (a current SOC 2 report, ideally Type 2, which tests the controls over a period rather than on one day) or an ISO/IEC 27001 certificate whose scope covers the service being bought. It also reviews the vendor's security documentation, its breach and incident history, where the organization's information will be stored and processed, the subprocessors that will touch it (subprocessors are the vendor's own vendors that handle the organization's information), and how the vendor manages its own suppliers. For supplied software, it also reviews how the vendor secures its releases and updates. Where the service will be a log source under the Logging and Monitoring Policy, the assessment also records how long the service keeps its audit log on the plan the organization is buying, and whether those entries can be exported. For a vendor whose service is physical, it also reviews how the vendor controls entry to the areas the organization uses, who it sends, whether its people are escorted, and the evidence it provides, such as a certificate of destruction. For a service whose loss would stop or seriously disrupt the business, the assessment also reviews the vendor's continuity arrangements and the organization's exit options if the vendor fails.</w:t>
      </w:r>
    </w:p>
    <w:p>
      <w:pPr>
        <w:pStyle w:val="ListBullet"/>
      </w:pPr>
      <w:r>
        <w:t>A Medium-tier assessment reviews the vendor's security documentation and the specific questions the service raises. A Low-tier assessment confirms the scope really is that narrow: nothing beyond business contact details and Public information, and no connection to the organization's systems.</w:t>
      </w:r>
    </w:p>
    <w:p>
      <w:pPr>
        <w:pStyle w:val="ListBullet"/>
      </w:pPr>
      <w:r>
        <w:t xml:space="preserve">Where the service will handle regulated data (information a specific regime governs, such as payment card data or health records), the assessment confirms the vendor offers the matching attestation or agreement. It also records whether the service supports multi-factor authentication (MFA) for the organization's accounts, single sign-on (SSO) through the organization's identity provider, and an audit log on the plan the organization is buying.</w:t>
      </w:r>
    </w:p>
    <w:p>
      <w:pPr>
        <w:pStyle w:val="ListBullet"/>
      </w:pPr>
      <w:r>
        <w:t>Where a service uses the organization's information to train or improve its models, the assessment confirms whether the terms allow that use at all, and whether that use can be turned off. Where it can be turned off, it is turned off before the service handles the organization's information. A service that trains on Confidential information and offers no opt-out is not approved for that information.</w:t>
      </w:r>
    </w:p>
    <w:p>
      <w:pPr>
        <w:pStyle w:val="ListBullet"/>
      </w:pPr>
      <w:r>
        <w:t xml:space="preserve">Software and equipment come from the vendor or a reseller it authorizes, never from a marketplace listing or a site that re-hosts the download with no involvement from the maker. Before a copy is installed, whoever installs it checks it against the signature or checksum the vendor publishes, and records that the check passed. Where the vendor publishes neither, the assessment records that as a gap.</w:t>
      </w:r>
    </w:p>
    <w:p>
      <w:pPr>
        <w:pStyle w:val="ListBullet"/>
      </w:pPr>
      <w:r>
        <w:t>Where a High-tier vendor offers no independent assurance, or any vendor cannot otherwise provide the evidence its tier calls for, that absence is itself a documented gap: it is recorded in the vendor record with compensating controls such as reduced data scope, tighter access, or a shorter review interval, and the remaining risk is accepted in writing under Section 3.3's acceptance rules before the vendor is engaged. Where the evidence a vendor provides falls short of what the service needs, the assessment records it as a gap and handles it the same way. A gap the vendor is expected to close by a set date may instead be handled through the exception process (see Section 6.0).</w:t>
      </w:r>
    </w:p>
    <w:p>
      <w:pPr>
        <w:pStyle w:val="ListBullet"/>
      </w:pPr>
      <w:r>
        <w:t>Where the vendor will handle personal information, the assessment also confirms that the contract includes the terms the applicable privacy laws require, per the legal duties the organization records under the Information Security Policy. Where those requirements are unclear, the organization takes legal advice.</w:t>
      </w:r>
    </w:p>
    <w:p>
      <w:pPr>
        <w:pStyle w:val="ListBullet"/>
      </w:pPr>
      <w:r>
        <w:t>The assessment and its outcome are recorded in the vendor record.</w:t>
      </w:r>
    </w:p>
    <w:p>
      <w:pPr>
        <w:pStyle w:val="Heading2"/>
      </w:pPr>
      <w:r>
        <w:t xml:space="preserve">3.3 Contracts and Agreements</w:t>
      </w:r>
    </w:p>
    <w:p>
      <w:pPr>
        <w:pStyle w:val="ListBullet"/>
      </w:pPr>
      <w:r>
        <w:t>Every vendor that handles Confidential information signs a contract with appropriate confidentiality terms before receiving it, as the Information Security Policy and Data Handling Policy require. Handling Confidential information makes a vendor High tier by definition, so the terms below apply to its agreement, whatever its form; the standard-terms rule later in this section governs terms the service does not meet. For Medium- and Low-tier vendors, the assessment decides whether a confidentiality agreement alone is enough.</w:t>
      </w:r>
    </w:p>
    <w:p>
      <w:pPr>
        <w:pStyle w:val="ListBullet"/>
      </w:pPr>
      <w:r>
        <w:t xml:space="preserve">Contracts with High-tier vendors include the following terms:</w:t>
      </w:r>
    </w:p>
    <w:p>
      <w:pPr>
        <w:pStyle w:val="ListBullet"/>
        <w:ind w:left="1440"/>
      </w:pPr>
      <w:r>
        <w:t xml:space="preserve">Security requirements suited to the service.</w:t>
      </w:r>
    </w:p>
    <w:p>
      <w:pPr>
        <w:pStyle w:val="ListBullet"/>
        <w:ind w:left="1440"/>
      </w:pPr>
      <w:r>
        <w:t xml:space="preserve">Availability commitments, where the business depends on the service.</w:t>
      </w:r>
    </w:p>
    <w:p>
      <w:pPr>
        <w:pStyle w:val="ListBullet"/>
        <w:ind w:left="1440"/>
      </w:pPr>
      <w:r>
        <w:t xml:space="preserve">Incident notification: the vendor tells the organization's designated contact about any incident affecting, or reasonably likely to affect, the organization's information or the service. Notice is given without undue delay, and in any case within </w:t>
      </w:r>
      <w:r>
        <w:rPr>
          <w:highlight w:val="yellow"/>
        </w:rPr>
        <w:t>[48 hours]</w:t>
      </w:r>
      <w:r>
        <w:t xml:space="preserve"> of the vendor first becoming aware of the incident or reasonably suspecting one. The vendor does not wait for its investigation to finish.</w:t>
      </w:r>
    </w:p>
    <w:p>
      <w:pPr>
        <w:pStyle w:val="ListBullet"/>
        <w:ind w:left="1440"/>
      </w:pPr>
      <w:r>
        <w:t xml:space="preserve">Cooperation in the organization's response.</w:t>
      </w:r>
    </w:p>
    <w:p>
      <w:pPr>
        <w:pStyle w:val="ListBullet"/>
        <w:ind w:left="1440"/>
      </w:pPr>
      <w:r>
        <w:t xml:space="preserve">Access to the records of the organization's own activity in the service, their export in a usable format, and their retention for at least the period the Logging and Monitoring Policy sets.</w:t>
      </w:r>
    </w:p>
    <w:p>
      <w:pPr>
        <w:pStyle w:val="ListBullet"/>
        <w:ind w:left="1440"/>
      </w:pPr>
      <w:r>
        <w:t xml:space="preserve">Return or destruction of the organization's information at exit, with written confirmation, except where law requires the vendor to retain it.</w:t>
      </w:r>
    </w:p>
    <w:p>
      <w:pPr>
        <w:pStyle w:val="ListBullet"/>
        <w:ind w:left="1440"/>
      </w:pPr>
      <w:r>
        <w:t xml:space="preserve">Confidentiality obligations that survive the contract's end.</w:t>
      </w:r>
    </w:p>
    <w:p>
      <w:pPr>
        <w:pStyle w:val="ListBullet"/>
        <w:ind w:left="1440"/>
      </w:pPr>
      <w:r>
        <w:t xml:space="preserve">Use of the organization's information only to provide the service the contract buys, and for no other purpose of the vendor's own.</w:t>
      </w:r>
    </w:p>
    <w:p>
      <w:pPr>
        <w:pStyle w:val="ListBullet"/>
        <w:ind w:left="1440"/>
      </w:pPr>
      <w:r>
        <w:t xml:space="preserve">Disclosure of the subprocessors that touch the organization's information, notice before a subprocessor changes, early enough for the organization to object, equivalent security duties imposed on those subprocessors, and the vendor remaining responsible to the organization for their performance.</w:t>
      </w:r>
    </w:p>
    <w:p>
      <w:pPr>
        <w:pStyle w:val="ListBullet"/>
        <w:ind w:left="1440"/>
      </w:pPr>
      <w:r>
        <w:t xml:space="preserve">Notice when vendor personnel with access to the organization's systems or information leave the vendor or that role. This term applies where the service is dedicated to the organization; it does not apply to multi-tenant services (a shared service run for many customers at once).</w:t>
      </w:r>
    </w:p>
    <w:p>
      <w:pPr>
        <w:pStyle w:val="ListBullet"/>
        <w:ind w:left="1440"/>
      </w:pPr>
      <w:r>
        <w:t xml:space="preserve">Notice before the organization's information is stored or processed in a new country.</w:t>
      </w:r>
    </w:p>
    <w:p>
      <w:pPr>
        <w:pStyle w:val="ListBullet"/>
        <w:ind w:left="1440"/>
      </w:pPr>
      <w:r>
        <w:t xml:space="preserve">Notice when the vendor is acquired, merges, or otherwise changes who controls it.</w:t>
      </w:r>
    </w:p>
    <w:p>
      <w:pPr>
        <w:pStyle w:val="ListBullet"/>
        <w:ind w:left="1440"/>
      </w:pPr>
      <w:r>
        <w:t xml:space="preserve">The vendor's obligation to provide current security assurance (a report, certificate, or summary of testing) on request, no more than </w:t>
      </w:r>
      <w:r>
        <w:rPr>
          <w:highlight w:val="yellow"/>
        </w:rPr>
        <w:t xml:space="preserve">[once a year]</w:t>
      </w:r>
      <w:r>
        <w:t xml:space="preserve">, unless an incident or a re-assessment trigger under Section 3.5 gives reason to ask again. This limit covers assurance about the vendor's own security; operational reporting on work the vendor performs for the organization runs on whatever schedule that service's contract sets.</w:t>
      </w:r>
    </w:p>
    <w:p>
      <w:pPr>
        <w:pStyle w:val="ListBullet"/>
        <w:ind w:left="1440"/>
      </w:pPr>
      <w:r>
        <w:t>For software the organization runs: notice of security vulnerabilities affecting the product, and of the end of security support.</w:t>
      </w:r>
    </w:p>
    <w:p>
      <w:pPr>
        <w:pStyle w:val="ListBullet"/>
        <w:ind w:left="1440"/>
      </w:pPr>
      <w:r>
        <w:t xml:space="preserve">Cyber liability insurance of at least </w:t>
      </w:r>
      <w:r>
        <w:rPr>
          <w:highlight w:val="yellow"/>
        </w:rPr>
        <w:t xml:space="preserve">[amount]</w:t>
      </w:r>
      <w:r>
        <w:t xml:space="preserve"> where the service handles Confidential information or the business depends on it, evidenced on request.</w:t>
      </w:r>
    </w:p>
    <w:p>
      <w:pPr>
        <w:pStyle w:val="ListBullet"/>
      </w:pPr>
      <w:r>
        <w:rPr>
          <w:highlight w:val="yellow"/>
        </w:rPr>
        <w:t>[Set the incident-notification window above shorter than the shortest notice period the organization itself owes its customers and regulators.]</w:t>
      </w:r>
    </w:p>
    <w:p>
      <w:pPr>
        <w:pStyle w:val="ListBullet"/>
      </w:pPr>
      <w:r>
        <w:rPr>
          <w:highlight w:val="yellow"/>
        </w:rPr>
        <w:t xml:space="preserve">[Set the insurance amount against what an incident at this vendor would cost the organization, and against any figure its own customer contracts or insurers require. A broker or counsel sets it.]</w:t>
      </w:r>
    </w:p>
    <w:p>
      <w:pPr>
        <w:pStyle w:val="ListBullet"/>
      </w:pPr>
      <w:r>
        <w:t xml:space="preserve">The sponsor passes every notice the vendor sends under these terms to the Information Security Lead, who decides whether it triggers a re-assessment under Section 3.5 and records the decision in the vendor record.</w:t>
      </w:r>
    </w:p>
    <w:p>
      <w:pPr>
        <w:pStyle w:val="ListBullet"/>
      </w:pPr>
      <w:r>
        <w:t>These terms write into the contract the duties the organization's other policies already state: the Incident Response Policy relies on vendor notification and cooperation, and the Data Handling Policy relies on return or destruction with confirmation.</w:t>
      </w:r>
    </w:p>
    <w:p>
      <w:pPr>
        <w:pStyle w:val="ListBullet"/>
      </w:pPr>
      <w:r>
        <w:t>Where a standard-terms service will not negotiate (most SaaS), the assessment evaluates the standard terms as they are. A term the service does not meet is recorded in the vendor record, with compensating controls where available.</w:t>
      </w:r>
    </w:p>
    <w:p>
      <w:pPr>
        <w:pStyle w:val="ListBullet"/>
      </w:pPr>
      <w:r>
        <w:t>The risk owner accepts the remaining risk in writing, unless the acceptance falls to Executive Management alone under this bullet. Executive Management (the organization's senior leadership, as the Information Security Policy defines it) accepts it where the risk is significant, where the gap would threaten the organization, its customers, or its obligations if it happened, whatever its risk level and whether that is true of the gap as it stands or of what remains after the compensating controls, or where the Information Security Lead is the risk owner. Where Executive Management accepts because the gap would threaten the organization, its customers, or its obligations, the risk owner accepts it as well. Executive Management's acceptance stands alone where the risk is significant, since the Information Security Policy records Executive Management as its owner, or where the Information Security Lead owns it. Executive Management defines what counts as significant, as the Information Security Policy provides. The acceptance is revisited at each re-assessment and at least annually, as the Information Security Policy requires for every accepted risk. It is recorded in the organization's record of identified risks (the risk register) as well as in the vendor record, and each names the other, so that annual review reaches it. A recorded risk acceptance satisfies this section only for the terms it covers; every other requirement of this section and this policy still applies. A term the vendor is expected to add by a set date may instead be handled through the exception process (see Section 6.0), so the gap carries an end date and a review.</w:t>
      </w:r>
    </w:p>
    <w:p>
      <w:pPr>
        <w:pStyle w:val="ListBullet"/>
      </w:pPr>
      <w:r>
        <w:t xml:space="preserve">Accepting away the incident-notification or the return-or-destruction term for a High-tier vendor is always a significant risk, so only Executive Management can accept it. For a vendor that holds regulated data, or provides a service whose loss would stop or seriously disrupt the business, the Incident Response Policy requires the incident-notification and cooperation terms; they are not accepted away, and a service that cannot meet them is not used for that role.</w:t>
      </w:r>
    </w:p>
    <w:p>
      <w:pPr>
        <w:pStyle w:val="ListBullet"/>
      </w:pPr>
      <w:r>
        <w:t>Requirements imposed by law, or by the organization's own contracts with its customers, cannot be accepted away: where a service's terms cannot meet a term the applicable privacy laws or a customer contract require, the service is not used for the information those requirements cover. Risk acceptance does not waive a legal, regulatory, or contractual requirement, as the Information Security Policy provides.</w:t>
      </w:r>
    </w:p>
    <w:p>
      <w:pPr>
        <w:pStyle w:val="Heading2"/>
      </w:pPr>
      <w:r>
        <w:t xml:space="preserve">3.4 Cloud and SaaS Services</w:t>
      </w:r>
    </w:p>
    <w:p>
      <w:pPr>
        <w:pStyle w:val="ListBullet"/>
      </w:pPr>
      <w:r>
        <w:t>Every cloud or SaaS service is approved before business use, through the assessment in Section 3.2. The Acceptable Use Policy prohibits adopting unapproved services (shadow IT), and approved services are published on that policy's approved list.</w:t>
      </w:r>
    </w:p>
    <w:p>
      <w:pPr>
        <w:pStyle w:val="ListBullet"/>
      </w:pPr>
      <w:r>
        <w:t>Before use, the service needs the assessment and an exit plan (how the organization's data comes out, and in what format). During use, the service is configured to the organization's security requirements (multi-factor authentication and access rules per the Access Control Policy) and is used through organization-controlled accounts, never personal ones. At the end, the exit follows Section 3.8.</w:t>
      </w:r>
    </w:p>
    <w:p>
      <w:pPr>
        <w:pStyle w:val="ListBullet"/>
      </w:pPr>
      <w:r>
        <w:t xml:space="preserve">Free tiers and trials are services too: they go through the same approval before any business use.</w:t>
      </w:r>
    </w:p>
    <w:p>
      <w:pPr>
        <w:pStyle w:val="Heading2"/>
      </w:pPr>
      <w:r>
        <w:t xml:space="preserve">3.5 Monitoring and Re-assessment</w:t>
      </w:r>
    </w:p>
    <w:p>
      <w:pPr>
        <w:pStyle w:val="ListBullet"/>
      </w:pPr>
      <w:r>
        <w:t xml:space="preserve">Vendors are re-assessed on a cadence set by tier: High </w:t>
      </w:r>
      <w:r>
        <w:rPr>
          <w:highlight w:val="yellow"/>
        </w:rPr>
        <w:t xml:space="preserve">[annually]</w:t>
      </w:r>
      <w:r>
        <w:t xml:space="preserve">, Medium </w:t>
      </w:r>
      <w:r>
        <w:rPr>
          <w:highlight w:val="yellow"/>
        </w:rPr>
        <w:t xml:space="preserve">[every two years]</w:t>
      </w:r>
      <w:r>
        <w:t xml:space="preserve">, Low at contract renewal or </w:t>
      </w:r>
      <w:r>
        <w:rPr>
          <w:highlight w:val="yellow"/>
        </w:rPr>
        <w:t xml:space="preserve">[every three years]</w:t>
      </w:r>
      <w:r>
        <w:t xml:space="preserve"> where there is no renewal. Appendix 1 records the cadence.</w:t>
      </w:r>
    </w:p>
    <w:p>
      <w:pPr>
        <w:pStyle w:val="ListBullet"/>
      </w:pPr>
      <w:r>
        <w:t>The Information Security Lead starts a re-assessment promptly, regardless of cadence, when a trigger fires: the vendor suffers a breach or security incident, the service or its terms change materially, the vendor's data or access scope grows, the vendor changes ownership, its service repeatedly fails, or the vendor sends a notice under its contract that changes the picture, such as a new subprocessor, a new country of storage, or the end of security support for software the organization runs. A sponsor leaving or changing role triggers reassignment and a scope confirmation by the new sponsor; a full re-assessment follows only where that confirmation finds change.</w:t>
      </w:r>
    </w:p>
    <w:p>
      <w:pPr>
        <w:pStyle w:val="ListBullet"/>
      </w:pPr>
      <w:r>
        <w:t>For each High-tier vendor, the Information Security Lead collects the vendor's latest independent assurance where the vendor offers it, such as each new SOC 2 report, and checks the vendor's status or security page and public reporting for incidents affecting it. This happens at the re-assessment and whenever a trigger fires.</w:t>
      </w:r>
    </w:p>
    <w:p>
      <w:pPr>
        <w:pStyle w:val="ListBullet"/>
      </w:pPr>
      <w:r>
        <w:t>At each renewal the sponsor confirms the service is still needed and its data and access scope is still right. A vendor no one still sponsors is offboarded under Section 3.8.</w:t>
      </w:r>
    </w:p>
    <w:p>
      <w:pPr>
        <w:pStyle w:val="ListBullet"/>
      </w:pPr>
      <w:r>
        <w:t>The re-assessment and its outcome are recorded in the vendor record, the same way Section 3.2 records an assessment. Where it finds a gap, the gap is recorded with compensating controls and the remaining risk is accepted in writing under Section 3.3's acceptance rules; a gap the vendor is expected to close by a set date is handled through the exception process instead (see Section 6.0). Where the tier no longer fits, the Information Security Lead re-tiers the vendor under Section 3.1.</w:t>
      </w:r>
    </w:p>
    <w:p>
      <w:pPr>
        <w:pStyle w:val="Heading2"/>
      </w:pPr>
      <w:r>
        <w:t xml:space="preserve">3.6 Subcontractors and the Supply Chain</w:t>
      </w:r>
    </w:p>
    <w:p>
      <w:pPr>
        <w:pStyle w:val="ListBullet"/>
      </w:pPr>
      <w:r>
        <w:t xml:space="preserve">High-tier vendors disclose the subprocessors that touch the organization's information and give notice when they add or change them, under the subprocessor term in Section 3.3. That term also makes the vendor impose equivalent security duties on those subprocessors and stay responsible to the organization for their performance.</w:t>
      </w:r>
    </w:p>
    <w:p>
      <w:pPr>
        <w:pStyle w:val="ListBullet"/>
      </w:pPr>
      <w:r>
        <w:t>The organization assesses how a High-tier vendor manages its own suppliers as part of the vendor's assessment; it does not directly assess the vendor's own suppliers (fourth parties).</w:t>
      </w:r>
    </w:p>
    <w:p>
      <w:pPr>
        <w:pStyle w:val="ListBullet"/>
      </w:pPr>
      <w:r>
        <w:t xml:space="preserve">Where many of the organization's services depend on one underlying provider, that concentration is noted in the vendor inventory and weighed in the organization's business continuity planning.</w:t>
      </w:r>
    </w:p>
    <w:p>
      <w:pPr>
        <w:pStyle w:val="Heading2"/>
      </w:pPr>
      <w:r>
        <w:t xml:space="preserve">3.7 Vendor Incidents</w:t>
      </w:r>
    </w:p>
    <w:p>
      <w:pPr>
        <w:pStyle w:val="ListBullet"/>
      </w:pPr>
      <w:r>
        <w:t xml:space="preserve">A suspected security incident at a vendor that may affect the organization's information or systems is reported and handled like any other incident, under the Incident Response Policy; the Information Security Lead and the sponsor coordinate with the vendor.</w:t>
      </w:r>
    </w:p>
    <w:p>
      <w:pPr>
        <w:pStyle w:val="ListBullet"/>
      </w:pPr>
      <w:r>
        <w:t xml:space="preserve">Security operations may suspend a vendor's access, accounts, or integrations while an incident is investigated, as part of containment under the Incident Response Policy.</w:t>
      </w:r>
    </w:p>
    <w:p>
      <w:pPr>
        <w:pStyle w:val="ListBullet"/>
      </w:pPr>
      <w:r>
        <w:t>The sponsor keeps each High-tier vendor's incident contacts current in the vendor record. This extends the Incident Response Policy's provider-contact duty to every High-tier vendor.</w:t>
      </w:r>
    </w:p>
    <w:p>
      <w:pPr>
        <w:pStyle w:val="ListBullet"/>
      </w:pPr>
      <w:r>
        <w:t xml:space="preserve">A vendor's failure to notify or cooperate as its contract requires is itself a finding: it feeds the next re-assessment and the decision whether to continue the relationship.</w:t>
      </w:r>
    </w:p>
    <w:p>
      <w:pPr>
        <w:pStyle w:val="Heading2"/>
      </w:pPr>
      <w:r>
        <w:t xml:space="preserve">3.8 Offboarding and Exit</w:t>
      </w:r>
    </w:p>
    <w:p>
      <w:pPr>
        <w:pStyle w:val="ListBullet"/>
      </w:pPr>
      <w:r>
        <w:t xml:space="preserve">Every engagement has an end date or a renewal checkpoint; for agreements that renew automatically, the sponsor sets a renewal checkpoint at least </w:t>
      </w:r>
      <w:r>
        <w:rPr>
          <w:highlight w:val="yellow"/>
        </w:rPr>
        <w:t>[annually]</w:t>
      </w:r>
      <w:r>
        <w:t>, and that checkpoint is the renewal for the purposes of this policy. Where the vendor holds access to the organization's systems, the Access Control Policy requires a recorded end date and removal of that access when the engagement ends.</w:t>
      </w:r>
    </w:p>
    <w:p>
      <w:pPr>
        <w:pStyle w:val="ListBullet"/>
      </w:pPr>
      <w:r>
        <w:t>At exit:</w:t>
      </w:r>
    </w:p>
    <w:p>
      <w:pPr>
        <w:pStyle w:val="ListBullet"/>
        <w:ind w:left="1440"/>
      </w:pPr>
      <w:r>
        <w:t>The vendor's access, accounts, and integrations are removed per the Access Control Policy, including any physical access, badges, or keys.</w:t>
      </w:r>
    </w:p>
    <w:p>
      <w:pPr>
        <w:pStyle w:val="ListBullet"/>
        <w:ind w:left="1440"/>
      </w:pPr>
      <w:r>
        <w:t>Credentials, tokens, and any other standing secrets the vendor held or could reach are revoked or rotated, and the rotation is recorded.</w:t>
      </w:r>
    </w:p>
    <w:p>
      <w:pPr>
        <w:pStyle w:val="ListBullet"/>
        <w:ind w:left="1440"/>
      </w:pPr>
      <w:r>
        <w:t>The organization's information is returned or destroyed as the contract requires, and the confirmation is kept as the Data Handling Policy requires.</w:t>
      </w:r>
    </w:p>
    <w:p>
      <w:pPr>
        <w:pStyle w:val="ListBullet"/>
        <w:ind w:left="1440"/>
      </w:pPr>
      <w:r>
        <w:t>For cloud services, the organization's data is exported per the exit plan before the service is terminated.</w:t>
      </w:r>
    </w:p>
    <w:p>
      <w:pPr>
        <w:pStyle w:val="ListBullet"/>
        <w:ind w:left="1440"/>
      </w:pPr>
      <w:r>
        <w:t xml:space="preserve">The exit and its confirmations are recorded in the vendor inventory.</w:t>
      </w:r>
    </w:p>
    <w:p>
      <w:pPr>
        <w:pStyle w:val="ListBullet"/>
      </w:pPr>
      <w:r>
        <w:t xml:space="preserve">The confidentiality obligations that survive the contract remain in force.</w:t>
      </w:r>
    </w:p>
    <w:p>
      <w:pPr>
        <w:pStyle w:val="Heading1"/>
      </w:pPr>
      <w:r>
        <w:t xml:space="preserve">4.0 Roles and Responsibilities</w:t>
      </w:r>
    </w:p>
    <w:p>
      <w:pPr>
        <w:pStyle w:val="ListBullet"/>
      </w:pPr>
      <w:r>
        <w:t xml:space="preserve">The Information Security Lead owns this policy and answers questions about what it requires. The Lead:</w:t>
      </w:r>
    </w:p>
    <w:p>
      <w:pPr>
        <w:pStyle w:val="ListBullet"/>
        <w:ind w:left="1440"/>
      </w:pPr>
      <w:r>
        <w:t>Performs or approves vendor assessments (delegating by tier where sensible) and assigns tiers.</w:t>
      </w:r>
    </w:p>
    <w:p>
      <w:pPr>
        <w:pStyle w:val="ListBullet"/>
        <w:ind w:left="1440"/>
      </w:pPr>
      <w:r>
        <w:t xml:space="preserve">Approves cloud and SaaS services (Section 3.4).</w:t>
      </w:r>
    </w:p>
    <w:p>
      <w:pPr>
        <w:pStyle w:val="ListBullet"/>
        <w:ind w:left="1440"/>
      </w:pPr>
      <w:r>
        <w:t xml:space="preserve">Recommends how the risk left after each assessment is treated, and records the acceptance (Section 3.3).</w:t>
      </w:r>
    </w:p>
    <w:p>
      <w:pPr>
        <w:pStyle w:val="ListBullet"/>
        <w:ind w:left="1440"/>
      </w:pPr>
      <w:r>
        <w:t xml:space="preserve">Tracks re-assessment cadences and triggers.</w:t>
      </w:r>
    </w:p>
    <w:p>
      <w:pPr>
        <w:pStyle w:val="ListBullet"/>
        <w:ind w:left="1440"/>
      </w:pPr>
      <w:r>
        <w:t xml:space="preserve">Reassigns vendors when a sponsor leaves or changes role.</w:t>
      </w:r>
    </w:p>
    <w:p>
      <w:pPr>
        <w:pStyle w:val="ListBullet"/>
      </w:pPr>
      <w:r>
        <w:t xml:space="preserve">Every vendor has a sponsor: the person who manages the relationship. This is the same internal sponsor the Access Control Policy requires for third-party access. The sponsor:</w:t>
      </w:r>
    </w:p>
    <w:p>
      <w:pPr>
        <w:pStyle w:val="ListBullet"/>
        <w:ind w:left="1440"/>
      </w:pPr>
      <w:r>
        <w:t xml:space="preserve">Requests the assessment before any commitment is made.</w:t>
      </w:r>
    </w:p>
    <w:p>
      <w:pPr>
        <w:pStyle w:val="ListBullet"/>
        <w:ind w:left="1440"/>
      </w:pPr>
      <w:r>
        <w:t xml:space="preserve">Owns the vendor's risk, unless it is significant or the Information Security Lead records a different owner, and accepts in writing the risk Section 3.3 requires the owner to accept. Where the risk is significant, the Information Security Policy makes Executive Management its owner.</w:t>
      </w:r>
    </w:p>
    <w:p>
      <w:pPr>
        <w:pStyle w:val="ListBullet"/>
        <w:ind w:left="1440"/>
      </w:pPr>
      <w:r>
        <w:t xml:space="preserve">Confirms at each renewal that the service is still needed and its data and access scope is still right.</w:t>
      </w:r>
    </w:p>
    <w:p>
      <w:pPr>
        <w:pStyle w:val="ListBullet"/>
        <w:ind w:left="1440"/>
      </w:pPr>
      <w:r>
        <w:t>Starts the offboarding when the service is no longer needed, and sees the Section 3.8 steps through to the record.</w:t>
      </w:r>
    </w:p>
    <w:p>
      <w:pPr>
        <w:pStyle w:val="ListBullet"/>
        <w:ind w:left="1440"/>
      </w:pPr>
      <w:r>
        <w:t>Records material outages of the service (date, duration, impact, action taken) in the vendor record; repeated failure is a re-assessment trigger (Section 3.5).</w:t>
      </w:r>
    </w:p>
    <w:p>
      <w:pPr>
        <w:pStyle w:val="ListBullet"/>
        <w:ind w:left="1440"/>
      </w:pPr>
      <w:r>
        <w:t xml:space="preserve">Reports to the Information Security Lead any Section 3.5 trigger they become aware of, including material changes to the service or its terms.</w:t>
      </w:r>
    </w:p>
    <w:p>
      <w:pPr>
        <w:pStyle w:val="ListBullet"/>
      </w:pPr>
      <w:r>
        <w:t xml:space="preserve">Security operations, with IT, maintains the vendor inventory alongside the Information Security Lead. It also implements and removes vendor access, accounts, and integrations, monitors their activity per the Access Control Policy, and runs the review in Section 3.1. The function may be an internal team or a qualified service provider; in a small organization the Information Security Lead performs it, as the Information Security Policy provides. It tells the Information Security Lead when a sponsor leaves or changes role, from the same notice that starts the access removal under the Access Control Policy.</w:t>
      </w:r>
    </w:p>
    <w:p>
      <w:pPr>
        <w:pStyle w:val="ListBullet"/>
      </w:pPr>
      <w:r>
        <w:t>Only people with the organization's written authorization to sign on its behalf enter vendor contracts for services this policy covers (Section 2.0 sets that scope). Online terms accepted by click-through are contracts too. No contract is entered before the Section 3.2 assessment is recorded.</w:t>
      </w:r>
    </w:p>
    <w:p>
      <w:pPr>
        <w:pStyle w:val="ListBullet"/>
      </w:pPr>
      <w:r>
        <w:t xml:space="preserve">Executive Management accepts a significant vendor risk, a risk that would threaten the organization, its customers, or its obligations if it happened, and any risk the Information Security Lead owns, as Section 3.3 and the Information Security Policy provide. It is the risk owner where the risk is significant.</w:t>
      </w:r>
    </w:p>
    <w:p>
      <w:pPr>
        <w:pStyle w:val="ListBullet"/>
      </w:pPr>
      <w:r>
        <w:t>Everyone engages vendors and services only through this process. Adopting an unapproved service for business data is prohibited by the Acceptable Use Policy.</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t>Promptly report suspected vendor security incidents, a vendor handling the organization's information in ways it should not, unapproved services in business use, and other security concerns. Use the incident reporting contacts kept in the Information Security Policy (its Appendix 1). A report to any manager counts; the manager passes it to those contacts.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Access Control Policy: third-party accounts, access, and integrations.</w:t>
      </w:r>
    </w:p>
    <w:p>
      <w:pPr>
        <w:pStyle w:val="ListBullet"/>
      </w:pPr>
      <w:r>
        <w:t xml:space="preserve">The Data Handling Policy: what may be shared with a vendor, and the return or destruction of information at exit.</w:t>
      </w:r>
    </w:p>
    <w:p>
      <w:pPr>
        <w:pStyle w:val="ListBullet"/>
      </w:pPr>
      <w:r>
        <w:t xml:space="preserve">The Incident Response Policy: handling vendor incidents, and the notification duties this policy writes into contracts.</w:t>
      </w:r>
    </w:p>
    <w:p>
      <w:pPr>
        <w:pStyle w:val="ListBullet"/>
      </w:pPr>
      <w:r>
        <w:t xml:space="preserve">The Acceptable Use Policy: the ban on adopting unapproved services.</w:t>
      </w:r>
    </w:p>
    <w:p>
      <w:pPr>
        <w:pStyle w:val="ListBullet"/>
      </w:pPr>
      <w:r>
        <w:t xml:space="preserve">The Change Management Policy: the review of vendor change notices, which feeds this policy's material-change trigger.</w:t>
      </w:r>
    </w:p>
    <w:p>
      <w:pPr>
        <w:pStyle w:val="ListBullet"/>
      </w:pPr>
      <w:r>
        <w:t xml:space="preserve">The Vulnerability Management Policy: software a provider patches, and the assurance this policy asks the provider for.</w:t>
      </w:r>
    </w:p>
    <w:p>
      <w:pPr>
        <w:pStyle w:val="ListBullet"/>
      </w:pPr>
      <w:r>
        <w:t xml:space="preserve">The Secure Development Policy: the contract terms and delivery review for vendors who develop for the organization.</w:t>
      </w:r>
    </w:p>
    <w:p>
      <w:pPr>
        <w:pStyle w:val="ListBullet"/>
      </w:pPr>
      <w:r>
        <w:t xml:space="preserve">The Remote Work &amp; Mobile Device Policy: the contractor-firm devices it accepts by contract, with the equivalent controls that contract must require.</w:t>
      </w:r>
    </w:p>
    <w:p>
      <w:pPr>
        <w:pStyle w:val="ListBullet"/>
      </w:pPr>
      <w:r>
        <w:t xml:space="preserve">The Physical and Environmental Security Policy: the cloud, data-center, building, maintenance, and destruction providers it relies on this policy to assess.</w:t>
      </w:r>
    </w:p>
    <w:p>
      <w:pPr>
        <w:pStyle w:val="ListBullet"/>
      </w:pPr>
      <w:r>
        <w:t xml:space="preserve">The Business Continuity &amp; Disaster Recovery Plan: how the organization keeps operating when a critical vendor fails; this policy manages the vendor before and after.</w:t>
      </w:r>
    </w:p>
    <w:p>
      <w:pPr>
        <w:pStyle w:val="ListBullet"/>
      </w:pPr>
      <w:r>
        <w:t xml:space="preserve">The AI Acceptable Use Policy: the use-side rules for AI tools; this policy assesses the vendors behind them.</w:t>
      </w:r>
    </w:p>
    <w:p>
      <w:pPr>
        <w:pStyle w:val="ListBullet"/>
      </w:pPr>
      <w:r>
        <w:t xml:space="preserve">The Email Security Policy: the mail protections that depend on the email provider this policy assesses.</w:t>
      </w:r>
    </w:p>
    <w:p>
      <w:pPr>
        <w:pStyle w:val="ListBullet"/>
      </w:pPr>
      <w:r>
        <w:t xml:space="preserve">The Logging and Monitoring Policy: the retention period the activity-records term in Section 3.3 carries, and the services that become log sources under it.</w:t>
      </w:r>
    </w:p>
    <w:p>
      <w:r>
        <w:t xml:space="preserve">Where any of these does not exist yet, treat it as a roadmap item; the rules in this policy apply on their own regardless.</w:t>
      </w:r>
    </w:p>
    <w:p>
      <w:r>
        <w:t>At a policy level, these rules put into practice the supplier relationship controls of ISO/IEC 27001:2022 Annex A: controls 5.19 to 5.22 (information security in supplier relationships; addressing information security within supplier agreements; managing information security in the information and communication technology (ICT) supply chain; and monitoring, review and change management of supplier services) and control 5.23 (information security for use of cloud services). They support the Govern function of the NIST Cybersecurity Framework 2.0, in particular the Cybersecurity Supply Chain Risk Management category (GV.SC). They also support the framework's Identify function, in particular the maintenance of an inventory of supplier services (ID.AM-04), the assessment of critical suppliers before acquisition (ID.RA-10), and the assessment of the authenticity and integrity of hardware and software before acquisition and use (ID.RA-09). They support its Detect function too, in particular the monitoring of external service provider activities and services (DE.CM-06).</w:t>
      </w:r>
    </w:p>
    <w:p>
      <w:pPr>
        <w:pStyle w:val="Heading1"/>
      </w:pPr>
      <w:r>
        <w:t xml:space="preserve">Appendix 1: Vendor Tiers and Vendor Record</w:t>
      </w:r>
    </w:p>
    <w:p>
      <w:r>
        <w:t xml:space="preserve">Set the tiers to fit the organization; this scheme is a starting point most organizations can adopt unchanged. A vendor that meets any High criterion is High; when in doubt between two tiers, choose the higher.</w:t>
      </w:r>
    </w:p>
    <w:tbl>
      <w:tblPr>
        <w:tblStyle w:val="TableGrid"/>
        <w:tblW w:type="auto" w:w="0"/>
        <w:tblLook w:firstColumn="1" w:firstRow="1" w:lastColumn="0" w:lastRow="0" w:noHBand="0" w:noVBand="1" w:val="04A0"/>
      </w:tblPr>
      <w:tblGrid>
        <w:gridCol w:w="1080"/>
        <w:gridCol w:w="4320"/>
        <w:gridCol w:w="3060"/>
        <w:gridCol w:w="2340"/>
      </w:tblGrid>
      <w:tr>
        <w:trPr>
          <w:tblHeader/>
          <w:cantSplit/>
        </w:trPr>
        <w:tc>
          <w:tcPr>
            <w:tcW w:type="dxa" w:w="1080"/>
          </w:tcPr>
          <w:p>
            <w:r>
              <w:rPr>
                <w:b/>
              </w:rPr>
              <w:t xml:space="preserve">Tier</w:t>
            </w:r>
          </w:p>
        </w:tc>
        <w:tc>
          <w:tcPr>
            <w:tcW w:type="dxa" w:w="4320"/>
          </w:tcPr>
          <w:p>
            <w:r>
              <w:rPr>
                <w:b/>
              </w:rPr>
              <w:t xml:space="preserve">What qualifies</w:t>
            </w:r>
          </w:p>
        </w:tc>
        <w:tc>
          <w:tcPr>
            <w:tcW w:type="dxa" w:w="3060"/>
          </w:tcPr>
          <w:p>
            <w:r>
              <w:rPr>
                <w:b/>
              </w:rPr>
              <w:t xml:space="preserve">Assessment before engagement</w:t>
            </w:r>
          </w:p>
        </w:tc>
        <w:tc>
          <w:tcPr>
            <w:tcW w:type="dxa" w:w="2340"/>
          </w:tcPr>
          <w:p>
            <w:r>
              <w:rPr>
                <w:b/>
              </w:rPr>
              <w:t xml:space="preserve">Re-assessment</w:t>
            </w:r>
          </w:p>
        </w:tc>
      </w:tr>
      <w:tr>
        <w:trPr>
          <w:cantSplit/>
        </w:trPr>
        <w:tc>
          <w:tcPr>
            <w:tcW w:type="dxa" w:w="1080"/>
          </w:tcPr>
          <w:p>
            <w:r>
              <w:t xml:space="preserve">High</w:t>
            </w:r>
          </w:p>
        </w:tc>
        <w:tc>
          <w:tcPr>
            <w:tcW w:type="dxa" w:w="4320"/>
          </w:tcPr>
          <w:p>
            <w:r>
              <w:t>Stores or processes Confidential information (including personal information; incidental business contact details do not qualify, but a compiled contact list can), connects to the organization's systems or holds the organization's credentials or tokens (standing secrets that grant access to the organization's systems or data), provides a service whose loss would stop or seriously disrupt the business, or holds unescorted physical access to premises the organization occupies or to the equipment or media in them</w:t>
            </w:r>
          </w:p>
        </w:tc>
        <w:tc>
          <w:tcPr>
            <w:tcW w:type="dxa" w:w="3060"/>
          </w:tcPr>
          <w:p>
            <w:r>
              <w:t xml:space="preserve">Independent assurance where offered (such as a SOC 2 report, ideally Type 2, or an ISO/IEC 27001 certificate whose scope covers the service), security documentation, breach history, data locations, subprocessors, and how the vendor manages its own suppliers; for supplied software, its release and update security; for a physical service, entry control, who the vendor sends, escorting, and its evidence of destruction; continuity and exit options where the business depends on it</w:t>
            </w:r>
          </w:p>
        </w:tc>
        <w:tc>
          <w:tcPr>
            <w:tcW w:type="dxa" w:w="2340"/>
          </w:tcPr>
          <w:p>
            <w:r>
              <w:t xml:space="preserve">As Section 3.5 sets, and on any trigger in that section</w:t>
            </w:r>
          </w:p>
        </w:tc>
      </w:tr>
      <w:tr>
        <w:trPr>
          <w:cantSplit/>
        </w:trPr>
        <w:tc>
          <w:tcPr>
            <w:tcW w:type="dxa" w:w="1080"/>
          </w:tcPr>
          <w:p>
            <w:r>
              <w:t xml:space="preserve">Medium</w:t>
            </w:r>
          </w:p>
        </w:tc>
        <w:tc>
          <w:tcPr>
            <w:tcW w:type="dxa" w:w="4320"/>
          </w:tcPr>
          <w:p>
            <w:r>
              <w:t xml:space="preserve">Meets no High criterion, and handles only Internal information or provides an important but replaceable service</w:t>
            </w:r>
          </w:p>
        </w:tc>
        <w:tc>
          <w:tcPr>
            <w:tcW w:type="dxa" w:w="3060"/>
          </w:tcPr>
          <w:p>
            <w:r>
              <w:t xml:space="preserve">Security documentation and the questions the service raises</w:t>
            </w:r>
          </w:p>
        </w:tc>
        <w:tc>
          <w:tcPr>
            <w:tcW w:type="dxa" w:w="2340"/>
          </w:tcPr>
          <w:p>
            <w:r>
              <w:t xml:space="preserve">As Section 3.5 sets, and on triggers</w:t>
            </w:r>
          </w:p>
        </w:tc>
      </w:tr>
      <w:tr>
        <w:trPr>
          <w:cantSplit/>
        </w:trPr>
        <w:tc>
          <w:tcPr>
            <w:tcW w:type="dxa" w:w="1080"/>
          </w:tcPr>
          <w:p>
            <w:r>
              <w:t xml:space="preserve">Low</w:t>
            </w:r>
          </w:p>
        </w:tc>
        <w:tc>
          <w:tcPr>
            <w:tcW w:type="dxa" w:w="4320"/>
          </w:tcPr>
          <w:p>
            <w:r>
              <w:t xml:space="preserve">No organization information beyond incidental business contact details and information classified Public, and no connection to the organization's systems</w:t>
            </w:r>
          </w:p>
        </w:tc>
        <w:tc>
          <w:tcPr>
            <w:tcW w:type="dxa" w:w="3060"/>
          </w:tcPr>
          <w:p>
            <w:r>
              <w:t xml:space="preserve">Confirm the scope really is this narrow</w:t>
            </w:r>
          </w:p>
        </w:tc>
        <w:tc>
          <w:tcPr>
            <w:tcW w:type="dxa" w:w="2340"/>
          </w:tcPr>
          <w:p>
            <w:r>
              <w:t xml:space="preserve">At contract renewal, or as Section 3.5 sets where there is no renewal, and on triggers</w:t>
            </w:r>
          </w:p>
        </w:tc>
      </w:tr>
    </w:tbl>
    <w:p>
      <w:pPr>
        <w:pageBreakBefore/>
      </w:pPr>
      <w:r>
        <w:t xml:space="preserve">Keep a record for each vendor, here or in the system used for the inventory. Other policies add to it: the Secure Development Policy records its milestone checks and its delivery review here.</w:t>
      </w:r>
    </w:p>
    <w:tbl>
      <w:tblPr>
        <w:tblStyle w:val="TableGrid"/>
        <w:tblW w:type="auto" w:w="0"/>
        <w:tblLook w:firstColumn="1" w:firstRow="1" w:lastColumn="0" w:lastRow="0" w:noHBand="0" w:noVBand="1" w:val="04A0"/>
      </w:tblPr>
      <w:tblGrid>
        <w:gridCol w:w="5400"/>
        <w:gridCol w:w="5400"/>
      </w:tblGrid>
      <w:tr>
        <w:trPr>
          <w:cantSplit/>
        </w:trPr>
        <w:tc>
          <w:tcPr>
            <w:tcW w:type="dxa" w:w="5400"/>
          </w:tcPr>
          <w:p>
            <w:r>
              <w:rPr>
                <w:b/>
              </w:rPr>
              <w:t xml:space="preserve">Vendor and service</w:t>
            </w:r>
          </w:p>
        </w:tc>
        <w:tc>
          <w:tcPr>
            <w:tcW w:type="dxa" w:w="5400"/>
          </w:tcPr>
          <w:p/>
        </w:tc>
      </w:tr>
      <w:tr>
        <w:trPr>
          <w:cantSplit/>
        </w:trPr>
        <w:tc>
          <w:tcPr>
            <w:tcW w:type="dxa" w:w="5400"/>
          </w:tcPr>
          <w:p>
            <w:r>
              <w:rPr>
                <w:b/>
              </w:rPr>
              <w:t xml:space="preserve">Sponsor (name and role)</w:t>
            </w:r>
          </w:p>
        </w:tc>
        <w:tc>
          <w:tcPr>
            <w:tcW w:type="dxa" w:w="5400"/>
          </w:tcPr>
          <w:p/>
        </w:tc>
      </w:tr>
      <w:tr>
        <w:trPr>
          <w:cantSplit/>
        </w:trPr>
        <w:tc>
          <w:tcPr>
            <w:tcW w:type="dxa" w:w="5400"/>
          </w:tcPr>
          <w:p>
            <w:r>
              <w:rPr>
                <w:b/>
              </w:rPr>
              <w:t xml:space="preserve">Risk owner (name and role; Executive Management where the risk is significant)</w:t>
            </w:r>
          </w:p>
        </w:tc>
        <w:tc>
          <w:tcPr>
            <w:tcW w:type="dxa" w:w="5400"/>
          </w:tcPr>
          <w:p/>
        </w:tc>
      </w:tr>
      <w:tr>
        <w:trPr>
          <w:cantSplit/>
        </w:trPr>
        <w:tc>
          <w:tcPr>
            <w:tcW w:type="dxa" w:w="5400"/>
          </w:tcPr>
          <w:p>
            <w:r>
              <w:rPr>
                <w:b/>
              </w:rPr>
              <w:t xml:space="preserve">Risk tier and why</w:t>
            </w:r>
          </w:p>
        </w:tc>
        <w:tc>
          <w:tcPr>
            <w:tcW w:type="dxa" w:w="5400"/>
          </w:tcPr>
          <w:p/>
        </w:tc>
      </w:tr>
      <w:tr>
        <w:trPr>
          <w:cantSplit/>
        </w:trPr>
        <w:tc>
          <w:tcPr>
            <w:tcW w:type="dxa" w:w="5400"/>
          </w:tcPr>
          <w:p>
            <w:r>
              <w:rPr>
                <w:b/>
              </w:rPr>
              <w:t xml:space="preserve">Information and access held</w:t>
            </w:r>
          </w:p>
        </w:tc>
        <w:tc>
          <w:tcPr>
            <w:tcW w:type="dxa" w:w="5400"/>
          </w:tcPr>
          <w:p/>
        </w:tc>
      </w:tr>
      <w:tr>
        <w:trPr>
          <w:cantSplit/>
        </w:trPr>
        <w:tc>
          <w:tcPr>
            <w:tcW w:type="dxa" w:w="5400"/>
          </w:tcPr>
          <w:p>
            <w:r>
              <w:rPr>
                <w:b/>
              </w:rPr>
              <w:t xml:space="preserve">Assessment (what was reviewed, by whom, date)</w:t>
            </w:r>
          </w:p>
        </w:tc>
        <w:tc>
          <w:tcPr>
            <w:tcW w:type="dxa" w:w="5400"/>
          </w:tcPr>
          <w:p/>
        </w:tc>
      </w:tr>
      <w:tr>
        <w:trPr>
          <w:cantSplit/>
        </w:trPr>
        <w:tc>
          <w:tcPr>
            <w:tcW w:type="dxa" w:w="5400"/>
          </w:tcPr>
          <w:p>
            <w:r>
              <w:rPr>
                <w:b/>
              </w:rPr>
              <w:t xml:space="preserve">Outcome (approved, approved with conditions, or not approved; and the conditions)</w:t>
            </w:r>
          </w:p>
        </w:tc>
        <w:tc>
          <w:tcPr>
            <w:tcW w:type="dxa" w:w="5400"/>
          </w:tcPr>
          <w:p/>
        </w:tc>
      </w:tr>
      <w:tr>
        <w:trPr>
          <w:cantSplit/>
        </w:trPr>
        <w:tc>
          <w:tcPr>
            <w:tcW w:type="dxa" w:w="5400"/>
          </w:tcPr>
          <w:p>
            <w:r>
              <w:rPr>
                <w:b/>
              </w:rPr>
              <w:t xml:space="preserve">Conditions met (date, and by whom)</w:t>
            </w:r>
          </w:p>
        </w:tc>
        <w:tc>
          <w:tcPr>
            <w:tcW w:type="dxa" w:w="5400"/>
          </w:tcPr>
          <w:p/>
        </w:tc>
      </w:tr>
      <w:tr>
        <w:trPr>
          <w:cantSplit/>
        </w:trPr>
        <w:tc>
          <w:tcPr>
            <w:tcW w:type="dxa" w:w="5400"/>
          </w:tcPr>
          <w:p>
            <w:r>
              <w:rPr>
                <w:b/>
              </w:rPr>
              <w:t>Contract terms confirmed (High tier: the full Section 3.3 list; below High: the terms the assessment required)</w:t>
            </w:r>
          </w:p>
        </w:tc>
        <w:tc>
          <w:tcPr>
            <w:tcW w:type="dxa" w:w="5400"/>
          </w:tcPr>
          <w:p/>
        </w:tc>
      </w:tr>
      <w:tr>
        <w:trPr>
          <w:cantSplit/>
        </w:trPr>
        <w:tc>
          <w:tcPr>
            <w:tcW w:type="dxa" w:w="5400"/>
          </w:tcPr>
          <w:p>
            <w:r>
              <w:rPr>
                <w:b/>
              </w:rPr>
              <w:t xml:space="preserve">Data locations</w:t>
            </w:r>
          </w:p>
        </w:tc>
        <w:tc>
          <w:tcPr>
            <w:tcW w:type="dxa" w:w="5400"/>
          </w:tcPr>
          <w:p/>
        </w:tc>
      </w:tr>
      <w:tr>
        <w:trPr>
          <w:cantSplit/>
        </w:trPr>
        <w:tc>
          <w:tcPr>
            <w:tcW w:type="dxa" w:w="5400"/>
          </w:tcPr>
          <w:p>
            <w:r>
              <w:rPr>
                <w:b/>
              </w:rPr>
              <w:t xml:space="preserve">AI training use (and opt-out status)</w:t>
            </w:r>
          </w:p>
        </w:tc>
        <w:tc>
          <w:tcPr>
            <w:tcW w:type="dxa" w:w="5400"/>
          </w:tcPr>
          <w:p/>
        </w:tc>
      </w:tr>
      <w:tr>
        <w:trPr>
          <w:cantSplit/>
        </w:trPr>
        <w:tc>
          <w:tcPr>
            <w:tcW w:type="dxa" w:w="5400"/>
          </w:tcPr>
          <w:p>
            <w:r>
              <w:rPr>
                <w:b/>
              </w:rPr>
              <w:t xml:space="preserve">Risk acceptances and exceptions (what, compensating controls, review date, and the register entry it is recorded under)</w:t>
            </w:r>
          </w:p>
        </w:tc>
        <w:tc>
          <w:tcPr>
            <w:tcW w:type="dxa" w:w="5400"/>
          </w:tcPr>
          <w:p/>
        </w:tc>
      </w:tr>
      <w:tr>
        <w:trPr>
          <w:cantSplit/>
        </w:trPr>
        <w:tc>
          <w:tcPr>
            <w:tcW w:type="dxa" w:w="5400"/>
          </w:tcPr>
          <w:p>
            <w:r>
              <w:rPr>
                <w:b/>
              </w:rPr>
              <w:t xml:space="preserve">Subprocessors disclosed</w:t>
            </w:r>
          </w:p>
        </w:tc>
        <w:tc>
          <w:tcPr>
            <w:tcW w:type="dxa" w:w="5400"/>
          </w:tcPr>
          <w:p/>
        </w:tc>
      </w:tr>
      <w:tr>
        <w:trPr>
          <w:cantSplit/>
        </w:trPr>
        <w:tc>
          <w:tcPr>
            <w:tcW w:type="dxa" w:w="5400"/>
          </w:tcPr>
          <w:p>
            <w:r>
              <w:rPr>
                <w:b/>
              </w:rPr>
              <w:t xml:space="preserve">Incident contact (High tier)</w:t>
            </w:r>
          </w:p>
        </w:tc>
        <w:tc>
          <w:tcPr>
            <w:tcW w:type="dxa" w:w="5400"/>
          </w:tcPr>
          <w:p/>
        </w:tc>
      </w:tr>
      <w:tr>
        <w:trPr>
          <w:cantSplit/>
        </w:trPr>
        <w:tc>
          <w:tcPr>
            <w:tcW w:type="dxa" w:w="5400"/>
          </w:tcPr>
          <w:p>
            <w:r>
              <w:rPr>
                <w:b/>
              </w:rPr>
              <w:t xml:space="preserve">Outage history (date, duration, impact, action taken)</w:t>
            </w:r>
          </w:p>
        </w:tc>
        <w:tc>
          <w:tcPr>
            <w:tcW w:type="dxa" w:w="5400"/>
          </w:tcPr>
          <w:p/>
        </w:tc>
      </w:tr>
      <w:tr>
        <w:trPr>
          <w:cantSplit/>
        </w:trPr>
        <w:tc>
          <w:tcPr>
            <w:tcW w:type="dxa" w:w="5400"/>
          </w:tcPr>
          <w:p>
            <w:r>
              <w:rPr>
                <w:b/>
              </w:rPr>
              <w:t xml:space="preserve">Concentration (shared underlying provider)</w:t>
            </w:r>
          </w:p>
        </w:tc>
        <w:tc>
          <w:tcPr>
            <w:tcW w:type="dxa" w:w="5400"/>
          </w:tcPr>
          <w:p/>
        </w:tc>
      </w:tr>
      <w:tr>
        <w:trPr>
          <w:cantSplit/>
        </w:trPr>
        <w:tc>
          <w:tcPr>
            <w:tcW w:type="dxa" w:w="5400"/>
          </w:tcPr>
          <w:p>
            <w:r>
              <w:rPr>
                <w:b/>
              </w:rPr>
              <w:t xml:space="preserve">Exit plan (cloud: how the data comes out, and in what format)</w:t>
            </w:r>
          </w:p>
        </w:tc>
        <w:tc>
          <w:tcPr>
            <w:tcW w:type="dxa" w:w="5400"/>
          </w:tcPr>
          <w:p/>
        </w:tc>
      </w:tr>
      <w:tr>
        <w:trPr>
          <w:cantSplit/>
        </w:trPr>
        <w:tc>
          <w:tcPr>
            <w:tcW w:type="dxa" w:w="5400"/>
          </w:tcPr>
          <w:p>
            <w:r>
              <w:rPr>
                <w:b/>
              </w:rPr>
              <w:t xml:space="preserve">Renewal or end date</w:t>
            </w:r>
          </w:p>
        </w:tc>
        <w:tc>
          <w:tcPr>
            <w:tcW w:type="dxa" w:w="5400"/>
          </w:tcPr>
          <w:p/>
        </w:tc>
      </w:tr>
      <w:tr>
        <w:trPr>
          <w:cantSplit/>
        </w:trPr>
        <w:tc>
          <w:tcPr>
            <w:tcW w:type="dxa" w:w="5400"/>
          </w:tcPr>
          <w:p>
            <w:r>
              <w:rPr>
                <w:b/>
              </w:rPr>
              <w:t xml:space="preserve">Re-assessments and triggers (what, when, the outcome, and what followed)</w:t>
            </w:r>
          </w:p>
        </w:tc>
        <w:tc>
          <w:tcPr>
            <w:tcW w:type="dxa" w:w="5400"/>
          </w:tcPr>
          <w:p/>
        </w:tc>
      </w:tr>
      <w:tr>
        <w:trPr>
          <w:cantSplit/>
        </w:trPr>
        <w:tc>
          <w:tcPr>
            <w:tcW w:type="dxa" w:w="5400"/>
          </w:tcPr>
          <w:p>
            <w:r>
              <w:rPr>
                <w:b/>
              </w:rPr>
              <w:t xml:space="preserve">Re-assessment due</w:t>
            </w:r>
          </w:p>
        </w:tc>
        <w:tc>
          <w:tcPr>
            <w:tcW w:type="dxa" w:w="5400"/>
          </w:tcPr>
          <w:p/>
        </w:tc>
      </w:tr>
      <w:tr>
        <w:trPr>
          <w:cantSplit/>
        </w:trPr>
        <w:tc>
          <w:tcPr>
            <w:tcW w:type="dxa" w:w="5400"/>
          </w:tcPr>
          <w:p>
            <w:r>
              <w:rPr>
                <w:b/>
              </w:rPr>
              <w:t xml:space="preserve">Exit completed (access removed, data returned or destroyed, confirmation kept)</w:t>
            </w:r>
          </w:p>
        </w:tc>
        <w:tc>
          <w:tcPr>
            <w:tcW w:type="dxa" w:w="5400"/>
          </w:tcP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Vendor Risk Management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8</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3638</Words>
  <Characters>20653</Characters>
  <DocSecurity>0</DocSecurity>
  <Lines>238</Lines>
  <Paragraphs>148</Paragraphs>
  <ScaleCrop>false</ScaleCrop>
  <HeadingPairs>
    <vt:vector size="2" baseType="variant">
      <vt:variant>
        <vt:lpstr>Title</vt:lpstr>
      </vt:variant>
      <vt:variant>
        <vt:i4>1</vt:i4>
      </vt:variant>
    </vt:vector>
  </HeadingPairs>
  <TitlesOfParts>
    <vt:vector size="1" baseType="lpstr">
      <vt:lpstr>Vendor Risk Management Policy</vt:lpstr>
    </vt:vector>
  </TitlesOfParts>
  <Manager/>
  <Company>anoBytes Technology Solutions LLC</Company>
  <LinksUpToDate>false</LinksUpToDate>
  <CharactersWithSpaces>24308</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Vendor Risk Management Policy</dc:title>
  <dc:subject>Vendor risk management policy template</dc:subject>
  <dc:creator>Nelson Pereira, anoBytes Technology Solutions LLC</dc:creator>
  <cp:keywords>soc 2, subprocessors, contracts, vendor inventory, vendor record, sponsor, high-tier, independent assurance, exit plan, vendor incidents, security documentation, third-party, tiering, contract terms, risk owner, cyber liability insurance, offboarding, concentration, suppliers, supply chain, data locations, standard terms, multi-tenant, provisional, click-through, free tier, fourth parties, iso 27001, reassessment, regulated data, single sign-on, mfa, audit log, checksum, signature, authenticity, reseller, changes ownership, changes who controls, risk register, id.ra-09, hardware, physical access, certificate of destruction, entry control</cp:keywords>
  <dc:description>How to vet and manage third parties: tiered assessments sized to the risk, the contract terms to insist on, monitoring with re-assessment triggers, and clean exits.</dc:description>
  <cp:lastModifiedBy/>
  <cp:revision>1</cp:revision>
  <dcterms:created xsi:type="dcterms:W3CDTF">2026-07-14T00:00:00Z</dcterms:created>
  <dcterms:modified xsi:type="dcterms:W3CDTF">2026-09-10T00:00:00Z</dcterms:modified>
  <cp:category>Template</cp:category>
</cp:coreProperties>
</file>